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Arial Unicode MS" w:hAnsi="黑体" w:eastAsia="Arial Unicode MS" w:cs="Arial Unicode MS"/>
          <w:sz w:val="36"/>
          <w:szCs w:val="36"/>
        </w:rPr>
      </w:pPr>
      <w:r>
        <w:rPr>
          <w:rFonts w:ascii="Arial Unicode MS" w:hAnsi="黑体" w:eastAsia="Arial Unicode MS" w:cs="Arial Unicode MS"/>
          <w:sz w:val="36"/>
          <w:szCs w:val="36"/>
        </w:rPr>
        <w:drawing>
          <wp:inline distT="0" distB="0" distL="114300" distR="114300">
            <wp:extent cx="1370330" cy="426085"/>
            <wp:effectExtent l="0" t="0" r="1270" b="1206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6"/>
                    <a:stretch>
                      <a:fillRect/>
                    </a:stretch>
                  </pic:blipFill>
                  <pic:spPr>
                    <a:xfrm>
                      <a:off x="0" y="0"/>
                      <a:ext cx="1370330" cy="426085"/>
                    </a:xfrm>
                    <a:prstGeom prst="rect">
                      <a:avLst/>
                    </a:prstGeom>
                    <a:noFill/>
                    <a:ln>
                      <a:noFill/>
                    </a:ln>
                  </pic:spPr>
                </pic:pic>
              </a:graphicData>
            </a:graphic>
          </wp:inline>
        </w:drawing>
      </w:r>
    </w:p>
    <w:p>
      <w:pPr>
        <w:spacing w:after="156" w:afterLines="50" w:line="440" w:lineRule="exact"/>
        <w:jc w:val="center"/>
        <w:rPr>
          <w:rFonts w:hint="eastAsia" w:ascii="Arial Unicode MS" w:hAnsi="黑体" w:eastAsia="Arial Unicode MS" w:cs="Arial Unicode MS"/>
          <w:b/>
          <w:bCs/>
          <w:sz w:val="36"/>
          <w:szCs w:val="36"/>
        </w:rPr>
      </w:pPr>
      <w:r>
        <w:rPr>
          <w:rFonts w:hint="eastAsia" w:ascii="Arial Unicode MS" w:hAnsi="黑体" w:eastAsia="Arial Unicode MS" w:cs="Arial Unicode MS"/>
          <w:b/>
          <w:bCs/>
          <w:sz w:val="36"/>
          <w:szCs w:val="36"/>
          <w:lang w:val="en-US" w:eastAsia="zh-CN"/>
        </w:rPr>
        <w:t>贵州民族大学</w:t>
      </w:r>
      <w:r>
        <w:rPr>
          <w:rFonts w:hint="eastAsia" w:ascii="Arial Unicode MS" w:hAnsi="黑体" w:eastAsia="Arial Unicode MS" w:cs="Arial Unicode MS"/>
          <w:b/>
          <w:bCs/>
          <w:sz w:val="36"/>
          <w:szCs w:val="36"/>
        </w:rPr>
        <w:t>“一站式”社区综合管理模式建设</w:t>
      </w:r>
    </w:p>
    <w:p>
      <w:pPr>
        <w:spacing w:after="156" w:afterLines="50" w:line="440" w:lineRule="exact"/>
        <w:jc w:val="center"/>
        <w:rPr>
          <w:rFonts w:hint="eastAsia" w:ascii="Arial Unicode MS" w:hAnsi="黑体" w:eastAsia="Arial Unicode MS" w:cs="Arial Unicode MS"/>
          <w:b/>
          <w:bCs/>
          <w:sz w:val="36"/>
          <w:szCs w:val="36"/>
          <w:lang w:eastAsia="zh-CN"/>
        </w:rPr>
      </w:pPr>
      <w:r>
        <w:rPr>
          <w:rFonts w:hint="eastAsia" w:ascii="Arial Unicode MS" w:hAnsi="黑体" w:eastAsia="Arial Unicode MS" w:cs="Arial Unicode MS"/>
          <w:b/>
          <w:bCs/>
          <w:sz w:val="36"/>
          <w:szCs w:val="36"/>
        </w:rPr>
        <w:t>支撑材料目录</w:t>
      </w:r>
    </w:p>
    <w:tbl>
      <w:tblPr>
        <w:tblStyle w:val="14"/>
        <w:tblW w:w="1000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26"/>
        <w:gridCol w:w="4020"/>
        <w:gridCol w:w="4"/>
        <w:gridCol w:w="909"/>
        <w:gridCol w:w="2"/>
        <w:gridCol w:w="3122"/>
        <w:gridCol w:w="60"/>
        <w:gridCol w:w="106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4850" w:type="dxa"/>
            <w:gridSpan w:val="3"/>
            <w:shd w:val="clear" w:color="auto" w:fill="FFC000"/>
            <w:noWrap w:val="0"/>
            <w:vAlign w:val="center"/>
          </w:tcPr>
          <w:p>
            <w:pPr>
              <w:spacing w:line="240" w:lineRule="exact"/>
              <w:ind w:right="8"/>
              <w:jc w:val="center"/>
              <w:rPr>
                <w:rFonts w:hint="eastAsia" w:ascii="楷体_GB2312" w:hAnsi="楷体_GB2312" w:eastAsia="楷体_GB2312" w:cs="楷体_GB2312"/>
                <w:b/>
                <w:bCs/>
                <w:color w:val="000000"/>
                <w:sz w:val="24"/>
                <w:szCs w:val="24"/>
              </w:rPr>
            </w:pPr>
            <w:r>
              <w:rPr>
                <w:rFonts w:hint="eastAsia" w:ascii="楷体_GB2312" w:hAnsi="楷体_GB2312" w:eastAsia="楷体_GB2312" w:cs="楷体_GB2312"/>
                <w:b/>
                <w:bCs/>
                <w:color w:val="000000"/>
                <w:sz w:val="24"/>
                <w:szCs w:val="24"/>
              </w:rPr>
              <w:t>指标体系</w:t>
            </w:r>
          </w:p>
        </w:tc>
        <w:tc>
          <w:tcPr>
            <w:tcW w:w="4033" w:type="dxa"/>
            <w:gridSpan w:val="3"/>
            <w:shd w:val="clear" w:color="auto" w:fill="FFC000"/>
            <w:noWrap w:val="0"/>
            <w:vAlign w:val="center"/>
          </w:tcPr>
          <w:p>
            <w:pPr>
              <w:spacing w:line="240" w:lineRule="exact"/>
              <w:jc w:val="center"/>
              <w:rPr>
                <w:rFonts w:hint="eastAsia" w:ascii="楷体_GB2312" w:hAnsi="楷体_GB2312" w:eastAsia="楷体_GB2312" w:cs="楷体_GB2312"/>
                <w:b/>
                <w:bCs/>
                <w:color w:val="000000"/>
                <w:sz w:val="24"/>
                <w:szCs w:val="24"/>
              </w:rPr>
            </w:pPr>
            <w:r>
              <w:rPr>
                <w:rFonts w:hint="eastAsia" w:ascii="楷体_GB2312" w:hAnsi="楷体_GB2312" w:eastAsia="楷体_GB2312" w:cs="楷体_GB2312"/>
                <w:b/>
                <w:bCs/>
                <w:color w:val="000000"/>
                <w:sz w:val="24"/>
                <w:szCs w:val="24"/>
              </w:rPr>
              <w:t>支撑材料</w:t>
            </w:r>
          </w:p>
        </w:tc>
        <w:tc>
          <w:tcPr>
            <w:tcW w:w="1123" w:type="dxa"/>
            <w:gridSpan w:val="2"/>
            <w:shd w:val="clear" w:color="auto" w:fill="FFC000"/>
            <w:noWrap w:val="0"/>
            <w:vAlign w:val="center"/>
          </w:tcPr>
          <w:p>
            <w:pPr>
              <w:spacing w:line="240" w:lineRule="exact"/>
              <w:ind w:left="6" w:leftChars="-20" w:right="-115" w:hanging="48" w:hangingChars="20"/>
              <w:jc w:val="center"/>
              <w:rPr>
                <w:rFonts w:hint="eastAsia" w:ascii="楷体_GB2312" w:hAnsi="楷体_GB2312" w:eastAsia="楷体_GB2312" w:cs="楷体_GB2312"/>
                <w:b/>
                <w:bCs/>
                <w:color w:val="000000"/>
                <w:sz w:val="24"/>
                <w:szCs w:val="24"/>
                <w:lang w:eastAsia="zh-CN"/>
              </w:rPr>
            </w:pPr>
            <w:r>
              <w:rPr>
                <w:rFonts w:hint="eastAsia" w:ascii="楷体_GB2312" w:hAnsi="楷体_GB2312" w:eastAsia="楷体_GB2312" w:cs="楷体_GB2312"/>
                <w:b/>
                <w:bCs/>
                <w:color w:val="000000"/>
                <w:sz w:val="24"/>
                <w:szCs w:val="24"/>
                <w:lang w:eastAsia="zh-CN"/>
              </w:rPr>
              <w:t>备注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FABF8F"/>
            <w:noWrap w:val="0"/>
            <w:vAlign w:val="center"/>
          </w:tcPr>
          <w:p>
            <w:pPr>
              <w:spacing w:line="220" w:lineRule="exact"/>
              <w:ind w:left="-105" w:leftChars="-50" w:right="6"/>
              <w:rPr>
                <w:rFonts w:hint="eastAsia" w:ascii="黑体" w:hAnsi="黑体" w:eastAsia="黑体" w:cs="Times New Roman"/>
                <w:color w:val="000000"/>
                <w:sz w:val="17"/>
                <w:szCs w:val="17"/>
                <w:lang w:eastAsia="zh-CN"/>
              </w:rPr>
            </w:pPr>
            <w:r>
              <w:rPr>
                <w:rFonts w:hint="eastAsia" w:ascii="黑体" w:hAnsi="黑体" w:eastAsia="黑体" w:cs="Times New Roman"/>
                <w:color w:val="000000"/>
                <w:sz w:val="22"/>
                <w:szCs w:val="22"/>
              </w:rPr>
              <w:t xml:space="preserve">  </w:t>
            </w:r>
            <w:r>
              <w:rPr>
                <w:rFonts w:hint="eastAsia" w:ascii="黑体" w:hAnsi="黑体" w:eastAsia="黑体" w:cs="Times New Roman"/>
                <w:color w:val="000000"/>
                <w:sz w:val="22"/>
                <w:szCs w:val="22"/>
                <w:lang w:val="en-US" w:eastAsia="zh-CN"/>
              </w:rPr>
              <w:t>A</w:t>
            </w:r>
            <w:r>
              <w:rPr>
                <w:rFonts w:hint="eastAsia" w:ascii="黑体" w:hAnsi="黑体" w:eastAsia="黑体" w:cs="Times New Roman"/>
                <w:color w:val="000000"/>
                <w:sz w:val="22"/>
                <w:szCs w:val="22"/>
              </w:rPr>
              <w:t>.</w:t>
            </w:r>
            <w:r>
              <w:rPr>
                <w:rFonts w:hint="eastAsia" w:ascii="黑体" w:hAnsi="黑体" w:eastAsia="黑体" w:cs="Times New Roman"/>
                <w:color w:val="000000"/>
                <w:sz w:val="22"/>
                <w:szCs w:val="22"/>
                <w:lang w:eastAsia="zh-CN"/>
              </w:rPr>
              <w:t>党建引领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ascii="黑体" w:hAnsi="黑体" w:eastAsia="黑体" w:cs="Times New Roman"/>
                <w:color w:val="000000"/>
                <w:sz w:val="17"/>
                <w:szCs w:val="17"/>
              </w:rPr>
            </w:pPr>
            <w:r>
              <w:rPr>
                <w:rFonts w:hint="eastAsia" w:ascii="黑体" w:hAnsi="黑体" w:eastAsia="黑体" w:cs="Times New Roman"/>
                <w:color w:val="000000"/>
                <w:sz w:val="18"/>
                <w:szCs w:val="18"/>
              </w:rPr>
              <w:t>1.加强党的建设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1.1</w:t>
            </w:r>
          </w:p>
        </w:tc>
        <w:tc>
          <w:tcPr>
            <w:tcW w:w="4024" w:type="dxa"/>
            <w:gridSpan w:val="2"/>
            <w:vMerge w:val="restart"/>
            <w:noWrap w:val="0"/>
            <w:vAlign w:val="center"/>
          </w:tcPr>
          <w:p>
            <w:pPr>
              <w:spacing w:line="220" w:lineRule="exact"/>
              <w:ind w:left="-20" w:leftChars="-50" w:right="6" w:hanging="85" w:hangingChars="50"/>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将“一站式”学生社区建设工作纳入学校年度党政工作要点，纳入校级党组织落实全面从严治党主体责任清单、校级党组织书记第一责任人清单、班子其他成员“一岗双责”责任清单。</w:t>
            </w:r>
          </w:p>
        </w:tc>
        <w:tc>
          <w:tcPr>
            <w:tcW w:w="909" w:type="dxa"/>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w:t>
            </w:r>
            <w:r>
              <w:rPr>
                <w:rFonts w:ascii="宋体" w:hAnsi="宋体" w:eastAsia="宋体" w:cs="Times New Roman"/>
                <w:color w:val="000000"/>
                <w:sz w:val="17"/>
                <w:szCs w:val="17"/>
              </w:rPr>
              <w:t>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restart"/>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-2</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1.2</w:t>
            </w:r>
          </w:p>
        </w:tc>
        <w:tc>
          <w:tcPr>
            <w:tcW w:w="4024" w:type="dxa"/>
            <w:gridSpan w:val="2"/>
            <w:vMerge w:val="restart"/>
            <w:noWrap w:val="0"/>
            <w:vAlign w:val="center"/>
          </w:tcPr>
          <w:p>
            <w:pPr>
              <w:spacing w:line="220" w:lineRule="exact"/>
              <w:ind w:left="-105" w:leftChars="-50" w:right="6" w:firstLine="85" w:firstLineChars="50"/>
              <w:rPr>
                <w:rFonts w:ascii="宋体" w:hAnsi="宋体" w:eastAsia="宋体" w:cs="Times New Roman"/>
                <w:color w:val="000000"/>
                <w:sz w:val="17"/>
                <w:szCs w:val="17"/>
              </w:rPr>
            </w:pPr>
            <w:r>
              <w:rPr>
                <w:rFonts w:hint="eastAsia" w:ascii="宋体" w:hAnsi="宋体" w:eastAsia="宋体" w:cs="Times New Roman"/>
                <w:color w:val="000000"/>
                <w:sz w:val="17"/>
                <w:szCs w:val="17"/>
              </w:rPr>
              <w:t>学校党委和行政领导班子成员高度重视并熟悉“一站式”学生社区建设工作，党委常委会、全委会或校长办公会每学期至少专题研究1次“一站式”学生社区建设工作，听取年度“一站式”学生社区建设工作情况汇报，在机制构建、资源配置、经费保障等方面提出有针对性地推进建设工作的思路举措。</w:t>
            </w: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rPr>
            </w:pPr>
          </w:p>
        </w:tc>
        <w:tc>
          <w:tcPr>
            <w:tcW w:w="1123" w:type="dxa"/>
            <w:gridSpan w:val="2"/>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2-2</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rPr>
            </w:pPr>
          </w:p>
        </w:tc>
        <w:tc>
          <w:tcPr>
            <w:tcW w:w="1123" w:type="dxa"/>
            <w:gridSpan w:val="2"/>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1.2-3</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lang w:val="en-US" w:eastAsia="zh-CN"/>
              </w:rPr>
            </w:pPr>
          </w:p>
        </w:tc>
        <w:tc>
          <w:tcPr>
            <w:tcW w:w="1123" w:type="dxa"/>
            <w:gridSpan w:val="2"/>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1.2-4</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lang w:val="en-US" w:eastAsia="zh-CN"/>
              </w:rPr>
            </w:pPr>
          </w:p>
        </w:tc>
        <w:tc>
          <w:tcPr>
            <w:tcW w:w="1123" w:type="dxa"/>
            <w:gridSpan w:val="2"/>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80" w:hRule="atLeast"/>
          <w:jc w:val="center"/>
        </w:trPr>
        <w:tc>
          <w:tcPr>
            <w:tcW w:w="826" w:type="dxa"/>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p>
        </w:tc>
        <w:tc>
          <w:tcPr>
            <w:tcW w:w="4024" w:type="dxa"/>
            <w:gridSpan w:val="2"/>
            <w:noWrap w:val="0"/>
            <w:vAlign w:val="center"/>
          </w:tcPr>
          <w:p>
            <w:pPr>
              <w:spacing w:line="220" w:lineRule="exact"/>
              <w:ind w:right="6"/>
              <w:rPr>
                <w:rFonts w:ascii="宋体" w:hAnsi="宋体" w:eastAsia="宋体" w:cs="Times New Roman"/>
                <w:color w:val="000000"/>
                <w:sz w:val="17"/>
                <w:szCs w:val="17"/>
              </w:rPr>
            </w:pPr>
            <w:r>
              <w:rPr>
                <w:rFonts w:hint="eastAsia" w:ascii="宋体" w:hAnsi="宋体" w:eastAsia="宋体" w:cs="Times New Roman"/>
                <w:color w:val="000000"/>
                <w:sz w:val="17"/>
                <w:szCs w:val="17"/>
              </w:rPr>
              <w:t>学校党委书记作为第一责任人，带头抓“一站式”学生社区建设工作，并明确1名校领导分管具体建设工作。</w:t>
            </w: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1.3-1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lang w:val="en-US" w:eastAsia="zh-CN"/>
              </w:rPr>
            </w:pPr>
          </w:p>
        </w:tc>
        <w:tc>
          <w:tcPr>
            <w:tcW w:w="1123" w:type="dxa"/>
            <w:gridSpan w:val="2"/>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bookmarkStart w:id="0" w:name="_GoBack"/>
            <w:bookmarkEnd w:id="0"/>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1.4</w:t>
            </w:r>
          </w:p>
        </w:tc>
        <w:tc>
          <w:tcPr>
            <w:tcW w:w="4024" w:type="dxa"/>
            <w:gridSpan w:val="2"/>
            <w:vMerge w:val="restart"/>
            <w:noWrap w:val="0"/>
            <w:vAlign w:val="center"/>
          </w:tcPr>
          <w:p>
            <w:pPr>
              <w:spacing w:line="220" w:lineRule="exact"/>
              <w:ind w:left="-105" w:leftChars="-50" w:right="6" w:firstLine="85" w:firstLineChars="50"/>
              <w:rPr>
                <w:rFonts w:ascii="宋体" w:hAnsi="宋体" w:eastAsia="宋体" w:cs="Times New Roman"/>
                <w:color w:val="000000"/>
                <w:sz w:val="17"/>
                <w:szCs w:val="17"/>
              </w:rPr>
            </w:pPr>
            <w:r>
              <w:rPr>
                <w:rFonts w:hint="eastAsia" w:ascii="宋体" w:hAnsi="宋体" w:eastAsia="宋体" w:cs="Times New Roman"/>
                <w:color w:val="000000"/>
                <w:sz w:val="17"/>
                <w:szCs w:val="17"/>
              </w:rPr>
              <w:t>成立建设工作领导小组，建立健全与教学科研管理、人才队伍培养等相结合的体制机制，定期编制“一站式”学生社区建设规划，每学期至少召开1次会议，听取成员单位工作汇报、研究“一站式”学生社区建设有关重点工作，决议事项执行到位。</w:t>
            </w: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lang w:val="en-US" w:eastAsia="zh-CN"/>
              </w:rPr>
            </w:pPr>
          </w:p>
        </w:tc>
        <w:tc>
          <w:tcPr>
            <w:tcW w:w="1123" w:type="dxa"/>
            <w:gridSpan w:val="2"/>
            <w:vMerge w:val="restart"/>
            <w:noWrap w:val="0"/>
            <w:vAlign w:val="center"/>
          </w:tcPr>
          <w:p>
            <w:pPr>
              <w:spacing w:line="220" w:lineRule="exact"/>
              <w:ind w:left="-115" w:leftChars="-55" w:right="6"/>
              <w:jc w:val="center"/>
              <w:rPr>
                <w:rFonts w:hint="eastAsia"/>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4" w:type="dxa"/>
            <w:gridSpan w:val="2"/>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1.4-2</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lang w:val="en-US" w:eastAsia="zh-CN"/>
              </w:rPr>
            </w:pPr>
          </w:p>
        </w:tc>
        <w:tc>
          <w:tcPr>
            <w:tcW w:w="1123" w:type="dxa"/>
            <w:gridSpan w:val="2"/>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21"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4" w:type="dxa"/>
            <w:gridSpan w:val="2"/>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09" w:type="dxa"/>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1.4-3</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hint="eastAsia" w:ascii="宋体" w:hAnsi="宋体" w:eastAsia="宋体" w:cs="Times New Roman"/>
                <w:color w:val="000000"/>
                <w:sz w:val="17"/>
                <w:szCs w:val="17"/>
              </w:rPr>
            </w:pPr>
            <w:r>
              <w:rPr>
                <w:rFonts w:hint="eastAsia" w:ascii="黑体" w:hAnsi="黑体" w:eastAsia="黑体" w:cs="Times New Roman"/>
                <w:color w:val="000000"/>
                <w:sz w:val="18"/>
                <w:szCs w:val="18"/>
              </w:rPr>
              <w:t>2.夯实部门协同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w:t>
            </w:r>
          </w:p>
        </w:tc>
        <w:tc>
          <w:tcPr>
            <w:tcW w:w="4024" w:type="dxa"/>
            <w:gridSpan w:val="2"/>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牵头部门职能明确、责任清晰，在学生党建前沿阵地、三全育人实践园地、智慧服务创新基地、平安校园样板高地等建设方面发挥统筹协调、组织推进和管理监督作用。</w:t>
            </w: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restart"/>
            <w:noWrap w:val="0"/>
            <w:vAlign w:val="center"/>
          </w:tcPr>
          <w:p>
            <w:pPr>
              <w:spacing w:line="220" w:lineRule="exact"/>
              <w:ind w:left="-115" w:leftChars="-55"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highlight w:val="none"/>
                <w:lang w:val="en-US" w:eastAsia="zh-CN"/>
              </w:rPr>
            </w:pPr>
            <w:r>
              <w:rPr>
                <w:rFonts w:hint="eastAsia" w:ascii="宋体" w:hAnsi="宋体" w:eastAsia="宋体" w:cs="Times New Roman"/>
                <w:color w:val="000000"/>
                <w:sz w:val="17"/>
                <w:szCs w:val="17"/>
                <w:highlight w:val="none"/>
                <w:lang w:val="en-US" w:eastAsia="zh-CN"/>
              </w:rPr>
              <w:t>2.5-2</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rPr>
            </w:pPr>
          </w:p>
        </w:tc>
        <w:tc>
          <w:tcPr>
            <w:tcW w:w="1123" w:type="dxa"/>
            <w:gridSpan w:val="2"/>
            <w:vMerge w:val="continue"/>
            <w:noWrap w:val="0"/>
            <w:vAlign w:val="center"/>
          </w:tcPr>
          <w:p>
            <w:pPr>
              <w:spacing w:line="220" w:lineRule="exact"/>
              <w:ind w:left="-115" w:leftChars="-55"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2.5-3</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continue"/>
            <w:noWrap w:val="0"/>
            <w:vAlign w:val="center"/>
          </w:tcPr>
          <w:p>
            <w:pPr>
              <w:spacing w:line="220" w:lineRule="exact"/>
              <w:ind w:left="-115" w:leftChars="-55"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w:t>
            </w:r>
          </w:p>
        </w:tc>
        <w:tc>
          <w:tcPr>
            <w:tcW w:w="4024" w:type="dxa"/>
            <w:gridSpan w:val="2"/>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学校组织部门把“一站式”学生社区建设工作作为高校党建工作的重要抓手，形成工作机制。</w:t>
            </w: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restart"/>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2.6-2</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2.6-3</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4" w:hRule="atLeast"/>
          <w:jc w:val="center"/>
        </w:trPr>
        <w:tc>
          <w:tcPr>
            <w:tcW w:w="826" w:type="dxa"/>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w:t>
            </w:r>
          </w:p>
        </w:tc>
        <w:tc>
          <w:tcPr>
            <w:tcW w:w="4024" w:type="dxa"/>
            <w:gridSpan w:val="2"/>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有关部门在“一站式”学生社区建设方面任务明确、职责清晰，年度工作有计划、有重点、有成效。</w:t>
            </w: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lang w:eastAsia="zh-CN"/>
              </w:rPr>
            </w:pPr>
          </w:p>
        </w:tc>
        <w:tc>
          <w:tcPr>
            <w:tcW w:w="1123" w:type="dxa"/>
            <w:gridSpan w:val="2"/>
            <w:noWrap w:val="0"/>
            <w:vAlign w:val="center"/>
          </w:tcPr>
          <w:p>
            <w:pPr>
              <w:spacing w:line="220" w:lineRule="exact"/>
              <w:ind w:left="-115" w:leftChars="-55" w:right="6"/>
              <w:jc w:val="center"/>
              <w:rPr>
                <w:rFonts w:hint="default" w:ascii="宋体" w:hAnsi="宋体" w:eastAsia="宋体" w:cs="Times New Roman"/>
                <w:color w:val="000000"/>
                <w:sz w:val="17"/>
                <w:szCs w:val="17"/>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ascii="黑体" w:hAnsi="黑体" w:eastAsia="黑体" w:cs="Times New Roman"/>
                <w:color w:val="000000"/>
                <w:sz w:val="17"/>
                <w:szCs w:val="17"/>
              </w:rPr>
            </w:pPr>
            <w:r>
              <w:rPr>
                <w:rFonts w:hint="eastAsia" w:ascii="黑体" w:hAnsi="黑体" w:eastAsia="黑体" w:cs="Times New Roman"/>
                <w:color w:val="000000"/>
                <w:sz w:val="18"/>
                <w:szCs w:val="18"/>
              </w:rPr>
              <w:t>3.压实一线责任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3.8</w:t>
            </w:r>
          </w:p>
        </w:tc>
        <w:tc>
          <w:tcPr>
            <w:tcW w:w="4024" w:type="dxa"/>
            <w:gridSpan w:val="2"/>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社区一线单位明确“一站式”学生社区建设具体业务负责人，建立职责任务清单。</w:t>
            </w: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3.8-1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3.8-2</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3.8-3</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3.8-4</w:t>
            </w:r>
          </w:p>
        </w:tc>
        <w:tc>
          <w:tcPr>
            <w:tcW w:w="3124" w:type="dxa"/>
            <w:gridSpan w:val="2"/>
            <w:noWrap w:val="0"/>
            <w:vAlign w:val="center"/>
          </w:tcPr>
          <w:p>
            <w:pPr>
              <w:spacing w:line="220" w:lineRule="exact"/>
              <w:ind w:left="-20" w:leftChars="-50" w:right="6" w:hanging="85" w:hangingChars="50"/>
              <w:jc w:val="left"/>
              <w:rPr>
                <w:rFonts w:hint="eastAsia"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3.8-5</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3.9</w:t>
            </w:r>
          </w:p>
        </w:tc>
        <w:tc>
          <w:tcPr>
            <w:tcW w:w="4024" w:type="dxa"/>
            <w:gridSpan w:val="2"/>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社区一线单位加强社区党（团）组织建设，推动社区党（团）支部严格执行落实基层党（团）组织制度和培养党（团）员功能，发挥党（团）员先锋模范作用，实现党（团）组织对社区楼宇、楼层全覆盖。</w:t>
            </w: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3.9-1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restart"/>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3.9-2</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123" w:type="dxa"/>
            <w:gridSpan w:val="2"/>
            <w:vMerge w:val="continue"/>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199" w:firstLineChars="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w:t>
            </w:r>
          </w:p>
        </w:tc>
        <w:tc>
          <w:tcPr>
            <w:tcW w:w="4024" w:type="dxa"/>
            <w:gridSpan w:val="2"/>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社区一线单位建立学生党员网络化管理体系，常态化划分设置社区党员责任区、党员先锋岗、党员工作坊等，压实社区党组织</w:t>
            </w:r>
            <w:r>
              <w:rPr>
                <w:rFonts w:hint="eastAsia" w:ascii="宋体" w:hAnsi="宋体" w:eastAsia="宋体" w:cs="Times New Roman"/>
                <w:color w:val="000000"/>
                <w:sz w:val="17"/>
                <w:szCs w:val="17"/>
                <w:lang w:val="en-US" w:eastAsia="zh-CN"/>
              </w:rPr>
              <w:t>或功能型党组织</w:t>
            </w:r>
            <w:r>
              <w:rPr>
                <w:rFonts w:hint="eastAsia" w:ascii="宋体" w:hAnsi="宋体" w:eastAsia="宋体" w:cs="Times New Roman"/>
                <w:color w:val="000000"/>
                <w:sz w:val="17"/>
                <w:szCs w:val="17"/>
              </w:rPr>
              <w:t>维护社区安全、落实意识形态工作责任制</w:t>
            </w:r>
            <w:r>
              <w:rPr>
                <w:rFonts w:hint="eastAsia" w:ascii="宋体" w:hAnsi="宋体" w:eastAsia="宋体" w:cs="Times New Roman"/>
                <w:color w:val="000000"/>
                <w:sz w:val="17"/>
                <w:szCs w:val="17"/>
                <w:lang w:val="en-US" w:eastAsia="zh-CN"/>
              </w:rPr>
              <w:t>的工作</w:t>
            </w:r>
            <w:r>
              <w:rPr>
                <w:rFonts w:hint="eastAsia" w:ascii="宋体" w:hAnsi="宋体" w:eastAsia="宋体" w:cs="Times New Roman"/>
                <w:color w:val="000000"/>
                <w:sz w:val="17"/>
                <w:szCs w:val="17"/>
              </w:rPr>
              <w:t>链条，做到工作落实有方法、有举措、有成效。</w:t>
            </w: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3.10-1</w:t>
            </w:r>
          </w:p>
        </w:tc>
        <w:tc>
          <w:tcPr>
            <w:tcW w:w="3124" w:type="dxa"/>
            <w:gridSpan w:val="2"/>
            <w:noWrap w:val="0"/>
            <w:vAlign w:val="center"/>
          </w:tcPr>
          <w:p>
            <w:pPr>
              <w:spacing w:line="220" w:lineRule="exact"/>
              <w:ind w:right="6"/>
              <w:rPr>
                <w:rFonts w:hint="default" w:ascii="宋体" w:hAnsi="宋体" w:eastAsia="宋体" w:cs="Times New Roman"/>
                <w:color w:val="000000"/>
                <w:sz w:val="17"/>
                <w:szCs w:val="17"/>
                <w:lang w:val="en-US" w:eastAsia="zh-CN"/>
              </w:rPr>
            </w:pPr>
          </w:p>
        </w:tc>
        <w:tc>
          <w:tcPr>
            <w:tcW w:w="1123" w:type="dxa"/>
            <w:gridSpan w:val="2"/>
            <w:vMerge w:val="restart"/>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199" w:firstLineChars="0"/>
              <w:rPr>
                <w:rFonts w:hint="eastAsia" w:ascii="宋体" w:hAnsi="宋体" w:eastAsia="宋体" w:cs="Times New Roman"/>
                <w:color w:val="000000"/>
                <w:sz w:val="17"/>
                <w:szCs w:val="17"/>
                <w:lang w:val="en-US" w:eastAsia="zh-CN"/>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3.10-2</w:t>
            </w:r>
          </w:p>
        </w:tc>
        <w:tc>
          <w:tcPr>
            <w:tcW w:w="3124" w:type="dxa"/>
            <w:gridSpan w:val="2"/>
            <w:noWrap w:val="0"/>
            <w:vAlign w:val="center"/>
          </w:tcPr>
          <w:p>
            <w:pPr>
              <w:spacing w:line="220" w:lineRule="exact"/>
              <w:ind w:right="6"/>
              <w:rPr>
                <w:rFonts w:hint="default"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199" w:firstLineChars="0"/>
              <w:rPr>
                <w:rFonts w:hint="eastAsia" w:ascii="宋体" w:hAnsi="宋体" w:eastAsia="宋体" w:cs="Times New Roman"/>
                <w:color w:val="000000"/>
                <w:sz w:val="17"/>
                <w:szCs w:val="17"/>
                <w:lang w:val="en-US" w:eastAsia="zh-CN"/>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3.10-3</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yellow"/>
                <w:lang w:val="en-US" w:eastAsia="zh-CN"/>
              </w:rPr>
            </w:pPr>
          </w:p>
        </w:tc>
        <w:tc>
          <w:tcPr>
            <w:tcW w:w="1123" w:type="dxa"/>
            <w:gridSpan w:val="2"/>
            <w:vMerge w:val="continue"/>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ascii="宋体" w:hAnsi="宋体" w:eastAsia="宋体" w:cs="Times New Roman"/>
                <w:color w:val="C2D69B"/>
                <w:sz w:val="17"/>
                <w:szCs w:val="17"/>
                <w:highlight w:val="darkGray"/>
              </w:rPr>
            </w:pPr>
            <w:r>
              <w:rPr>
                <w:rFonts w:hint="eastAsia" w:ascii="黑体" w:hAnsi="黑体" w:eastAsia="黑体" w:cs="Times New Roman"/>
                <w:color w:val="auto"/>
                <w:sz w:val="18"/>
                <w:szCs w:val="18"/>
                <w:highlight w:val="none"/>
              </w:rPr>
              <w:t>4.</w:t>
            </w:r>
            <w:r>
              <w:rPr>
                <w:rFonts w:hint="eastAsia" w:ascii="黑体" w:hAnsi="黑体" w:eastAsia="黑体" w:cs="Times New Roman"/>
                <w:color w:val="auto"/>
                <w:sz w:val="18"/>
                <w:szCs w:val="18"/>
              </w:rPr>
              <w:t>健全管理机制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4.11</w:t>
            </w:r>
          </w:p>
        </w:tc>
        <w:tc>
          <w:tcPr>
            <w:tcW w:w="4024" w:type="dxa"/>
            <w:gridSpan w:val="2"/>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建立接诉即办机制，搭建“校长信箱”“24小时心理热线”“后勤服务热线”等多元学生诉求反映渠道，优化完善“学生反映—集中转办—限期反馈—跟踪问效”的工作闭环，保障师生诉求处理机制有效运行。</w:t>
            </w: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4.11-1</w:t>
            </w:r>
          </w:p>
        </w:tc>
        <w:tc>
          <w:tcPr>
            <w:tcW w:w="3124" w:type="dxa"/>
            <w:gridSpan w:val="2"/>
            <w:noWrap w:val="0"/>
            <w:vAlign w:val="center"/>
          </w:tcPr>
          <w:p>
            <w:pPr>
              <w:spacing w:line="220" w:lineRule="exact"/>
              <w:ind w:right="6"/>
              <w:rPr>
                <w:rFonts w:hint="default" w:ascii="宋体" w:hAnsi="宋体" w:eastAsia="宋体" w:cs="Times New Roman"/>
                <w:color w:val="000000"/>
                <w:sz w:val="17"/>
                <w:szCs w:val="17"/>
                <w:lang w:val="en-US" w:eastAsia="zh-CN"/>
              </w:rPr>
            </w:pPr>
          </w:p>
        </w:tc>
        <w:tc>
          <w:tcPr>
            <w:tcW w:w="1123" w:type="dxa"/>
            <w:gridSpan w:val="2"/>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4.11-2</w:t>
            </w:r>
          </w:p>
        </w:tc>
        <w:tc>
          <w:tcPr>
            <w:tcW w:w="3124" w:type="dxa"/>
            <w:gridSpan w:val="2"/>
            <w:noWrap w:val="0"/>
            <w:vAlign w:val="center"/>
          </w:tcPr>
          <w:p>
            <w:pPr>
              <w:spacing w:line="220" w:lineRule="exact"/>
              <w:ind w:right="6"/>
              <w:rPr>
                <w:rFonts w:hint="default"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tabs>
                <w:tab w:val="left" w:pos="464"/>
              </w:tabs>
              <w:spacing w:line="220" w:lineRule="exact"/>
              <w:ind w:left="-20" w:leftChars="-50" w:right="6" w:hanging="85" w:hangingChars="50"/>
              <w:jc w:val="left"/>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ab/>
            </w:r>
            <w:r>
              <w:rPr>
                <w:rFonts w:hint="eastAsia" w:ascii="宋体" w:hAnsi="宋体" w:eastAsia="宋体" w:cs="Times New Roman"/>
                <w:color w:val="000000"/>
                <w:sz w:val="17"/>
                <w:szCs w:val="17"/>
                <w:lang w:val="en-US" w:eastAsia="zh-CN"/>
              </w:rPr>
              <w:t xml:space="preserve"> 4.11-3</w:t>
            </w:r>
          </w:p>
        </w:tc>
        <w:tc>
          <w:tcPr>
            <w:tcW w:w="3124" w:type="dxa"/>
            <w:gridSpan w:val="2"/>
            <w:noWrap w:val="0"/>
            <w:vAlign w:val="center"/>
          </w:tcPr>
          <w:p>
            <w:pPr>
              <w:spacing w:line="220" w:lineRule="exact"/>
              <w:ind w:right="6"/>
              <w:jc w:val="left"/>
              <w:rPr>
                <w:rFonts w:hint="eastAsia"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tabs>
                <w:tab w:val="left" w:pos="284"/>
              </w:tabs>
              <w:spacing w:line="220" w:lineRule="exact"/>
              <w:ind w:right="6"/>
              <w:jc w:val="left"/>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4.11-4</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tabs>
                <w:tab w:val="left" w:pos="239"/>
              </w:tabs>
              <w:spacing w:line="220" w:lineRule="exact"/>
              <w:ind w:left="-20" w:leftChars="-50" w:right="6" w:hanging="85" w:hangingChars="50"/>
              <w:jc w:val="left"/>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ab/>
            </w:r>
            <w:r>
              <w:rPr>
                <w:rFonts w:hint="eastAsia" w:ascii="宋体" w:hAnsi="宋体" w:eastAsia="宋体" w:cs="Times New Roman"/>
                <w:color w:val="000000"/>
                <w:sz w:val="17"/>
                <w:szCs w:val="17"/>
                <w:lang w:val="en-US" w:eastAsia="zh-CN"/>
              </w:rPr>
              <w:t xml:space="preserve"> 4.11-5</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5"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tabs>
                <w:tab w:val="left" w:pos="209"/>
              </w:tabs>
              <w:spacing w:line="220" w:lineRule="exact"/>
              <w:ind w:left="-20" w:leftChars="-50" w:right="6" w:hanging="85" w:hangingChars="50"/>
              <w:jc w:val="left"/>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ab/>
            </w:r>
            <w:r>
              <w:rPr>
                <w:rFonts w:hint="eastAsia" w:ascii="宋体" w:hAnsi="宋体" w:eastAsia="宋体" w:cs="Times New Roman"/>
                <w:color w:val="000000"/>
                <w:sz w:val="17"/>
                <w:szCs w:val="17"/>
                <w:lang w:val="en-US" w:eastAsia="zh-CN"/>
              </w:rPr>
              <w:t xml:space="preserve"> 4.11-6</w:t>
            </w:r>
          </w:p>
        </w:tc>
        <w:tc>
          <w:tcPr>
            <w:tcW w:w="3124" w:type="dxa"/>
            <w:gridSpan w:val="2"/>
            <w:noWrap w:val="0"/>
            <w:vAlign w:val="center"/>
          </w:tcPr>
          <w:p>
            <w:pPr>
              <w:spacing w:line="220" w:lineRule="exact"/>
              <w:ind w:right="6"/>
              <w:rPr>
                <w:rFonts w:hint="eastAsia" w:ascii="等线" w:hAnsi="等线" w:eastAsia="等线" w:cs="等线"/>
                <w:kern w:val="2"/>
                <w:sz w:val="21"/>
                <w:szCs w:val="21"/>
                <w:lang w:val="en-US" w:eastAsia="zh-CN" w:bidi="ar-SA"/>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w:t>
            </w:r>
          </w:p>
        </w:tc>
        <w:tc>
          <w:tcPr>
            <w:tcW w:w="4024" w:type="dxa"/>
            <w:gridSpan w:val="2"/>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出台领导干部</w:t>
            </w:r>
            <w:r>
              <w:rPr>
                <w:rFonts w:hint="eastAsia" w:ascii="宋体" w:hAnsi="宋体" w:eastAsia="宋体" w:cs="Times New Roman"/>
                <w:color w:val="000000"/>
                <w:sz w:val="17"/>
                <w:szCs w:val="17"/>
                <w:lang w:val="en-US" w:eastAsia="zh-CN"/>
              </w:rPr>
              <w:t>践行</w:t>
            </w:r>
            <w:r>
              <w:rPr>
                <w:rFonts w:hint="eastAsia" w:ascii="宋体" w:hAnsi="宋体" w:eastAsia="宋体" w:cs="Times New Roman"/>
                <w:color w:val="000000"/>
                <w:sz w:val="17"/>
                <w:szCs w:val="17"/>
                <w:lang w:eastAsia="zh-CN"/>
              </w:rPr>
              <w:t>“</w:t>
            </w:r>
            <w:r>
              <w:rPr>
                <w:rFonts w:hint="eastAsia" w:ascii="宋体" w:hAnsi="宋体" w:eastAsia="宋体" w:cs="Times New Roman"/>
                <w:color w:val="000000"/>
                <w:sz w:val="17"/>
                <w:szCs w:val="17"/>
                <w:lang w:val="en-US" w:eastAsia="zh-CN"/>
              </w:rPr>
              <w:t>一线规则</w:t>
            </w:r>
            <w:r>
              <w:rPr>
                <w:rFonts w:hint="eastAsia" w:ascii="宋体" w:hAnsi="宋体" w:eastAsia="宋体" w:cs="Times New Roman"/>
                <w:color w:val="000000"/>
                <w:sz w:val="17"/>
                <w:szCs w:val="17"/>
                <w:lang w:eastAsia="zh-CN"/>
              </w:rPr>
              <w:t>”</w:t>
            </w:r>
            <w:r>
              <w:rPr>
                <w:rFonts w:hint="eastAsia" w:ascii="宋体" w:hAnsi="宋体" w:eastAsia="宋体" w:cs="Times New Roman"/>
                <w:color w:val="000000"/>
                <w:sz w:val="17"/>
                <w:szCs w:val="17"/>
                <w:lang w:val="en-US" w:eastAsia="zh-CN"/>
              </w:rPr>
              <w:t>工作</w:t>
            </w:r>
            <w:r>
              <w:rPr>
                <w:rFonts w:hint="eastAsia" w:ascii="宋体" w:hAnsi="宋体" w:eastAsia="宋体" w:cs="Times New Roman"/>
                <w:color w:val="000000"/>
                <w:sz w:val="17"/>
                <w:szCs w:val="17"/>
              </w:rPr>
              <w:t>方案</w:t>
            </w:r>
            <w:r>
              <w:rPr>
                <w:rFonts w:hint="eastAsia" w:ascii="宋体" w:hAnsi="宋体" w:eastAsia="宋体" w:cs="Times New Roman"/>
                <w:color w:val="000000"/>
                <w:sz w:val="17"/>
                <w:szCs w:val="17"/>
                <w:lang w:eastAsia="zh-CN"/>
              </w:rPr>
              <w:t>，</w:t>
            </w:r>
            <w:r>
              <w:rPr>
                <w:rFonts w:hint="eastAsia" w:ascii="宋体" w:hAnsi="宋体" w:eastAsia="宋体" w:cs="Times New Roman"/>
                <w:color w:val="000000"/>
                <w:sz w:val="17"/>
                <w:szCs w:val="17"/>
              </w:rPr>
              <w:t>主动调研了解学生诉求。</w:t>
            </w:r>
          </w:p>
        </w:tc>
        <w:tc>
          <w:tcPr>
            <w:tcW w:w="909" w:type="dxa"/>
            <w:noWrap w:val="0"/>
            <w:vAlign w:val="center"/>
          </w:tcPr>
          <w:p>
            <w:pPr>
              <w:tabs>
                <w:tab w:val="left" w:pos="209"/>
              </w:tabs>
              <w:spacing w:line="220" w:lineRule="exact"/>
              <w:ind w:right="6"/>
              <w:jc w:val="left"/>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123" w:type="dxa"/>
            <w:gridSpan w:val="2"/>
            <w:vMerge w:val="restart"/>
            <w:noWrap w:val="0"/>
            <w:vAlign w:val="center"/>
          </w:tcPr>
          <w:p>
            <w:pPr>
              <w:spacing w:line="220" w:lineRule="exact"/>
              <w:ind w:left="-115" w:leftChars="-55" w:right="-115"/>
              <w:jc w:val="both"/>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5"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tabs>
                <w:tab w:val="left" w:pos="209"/>
              </w:tabs>
              <w:spacing w:line="220" w:lineRule="exact"/>
              <w:ind w:right="6"/>
              <w:jc w:val="left"/>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4.12-2</w:t>
            </w:r>
          </w:p>
        </w:tc>
        <w:tc>
          <w:tcPr>
            <w:tcW w:w="3124" w:type="dxa"/>
            <w:gridSpan w:val="2"/>
            <w:noWrap w:val="0"/>
            <w:vAlign w:val="center"/>
          </w:tcPr>
          <w:p>
            <w:pPr>
              <w:spacing w:line="220" w:lineRule="exact"/>
              <w:ind w:right="6"/>
              <w:rPr>
                <w:rFonts w:hint="eastAsia" w:ascii="等线" w:hAnsi="等线" w:eastAsia="等线" w:cs="等线"/>
                <w:kern w:val="2"/>
                <w:sz w:val="21"/>
                <w:szCs w:val="21"/>
                <w:lang w:val="en-US" w:eastAsia="zh-CN" w:bidi="ar-SA"/>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5"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tabs>
                <w:tab w:val="left" w:pos="209"/>
              </w:tabs>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4.12-3</w:t>
            </w:r>
          </w:p>
        </w:tc>
        <w:tc>
          <w:tcPr>
            <w:tcW w:w="3124" w:type="dxa"/>
            <w:gridSpan w:val="2"/>
            <w:noWrap w:val="0"/>
            <w:vAlign w:val="center"/>
          </w:tcPr>
          <w:p>
            <w:pPr>
              <w:tabs>
                <w:tab w:val="left" w:pos="890"/>
              </w:tabs>
              <w:spacing w:line="220" w:lineRule="exact"/>
              <w:ind w:left="-20" w:leftChars="-50" w:right="6" w:hanging="85" w:hangingChars="50"/>
              <w:rPr>
                <w:rFonts w:hint="eastAsia" w:ascii="宋体" w:hAnsi="宋体" w:eastAsia="宋体" w:cs="Times New Roman"/>
                <w:color w:val="000000"/>
                <w:sz w:val="17"/>
                <w:szCs w:val="17"/>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4.13</w:t>
            </w:r>
          </w:p>
        </w:tc>
        <w:tc>
          <w:tcPr>
            <w:tcW w:w="4024" w:type="dxa"/>
            <w:gridSpan w:val="2"/>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拓展建立“学校—网信部门”协调联动机制，及时发现苗头性倾向性问题，提高危机预防和快速反应能力。</w:t>
            </w:r>
          </w:p>
        </w:tc>
        <w:tc>
          <w:tcPr>
            <w:tcW w:w="909" w:type="dxa"/>
            <w:noWrap w:val="0"/>
            <w:vAlign w:val="center"/>
          </w:tcPr>
          <w:p>
            <w:pPr>
              <w:tabs>
                <w:tab w:val="left" w:pos="209"/>
              </w:tabs>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4.13-1</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123" w:type="dxa"/>
            <w:gridSpan w:val="2"/>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4" w:type="dxa"/>
            <w:gridSpan w:val="2"/>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09" w:type="dxa"/>
            <w:noWrap w:val="0"/>
            <w:vAlign w:val="center"/>
          </w:tcPr>
          <w:p>
            <w:pPr>
              <w:tabs>
                <w:tab w:val="left" w:pos="209"/>
              </w:tabs>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4.13-2</w:t>
            </w:r>
          </w:p>
        </w:tc>
        <w:tc>
          <w:tcPr>
            <w:tcW w:w="3124" w:type="dxa"/>
            <w:gridSpan w:val="2"/>
            <w:noWrap w:val="0"/>
            <w:vAlign w:val="center"/>
          </w:tcPr>
          <w:p>
            <w:pPr>
              <w:spacing w:line="220" w:lineRule="exact"/>
              <w:ind w:right="6"/>
              <w:rPr>
                <w:rFonts w:hint="eastAsia" w:ascii="宋体" w:hAnsi="宋体" w:eastAsia="宋体" w:cs="Times New Roman"/>
                <w:color w:val="000000"/>
                <w:sz w:val="17"/>
                <w:szCs w:val="17"/>
                <w:highlight w:val="none"/>
                <w:lang w:val="en-US" w:eastAsia="zh-CN"/>
              </w:rPr>
            </w:pPr>
          </w:p>
        </w:tc>
        <w:tc>
          <w:tcPr>
            <w:tcW w:w="1123" w:type="dxa"/>
            <w:gridSpan w:val="2"/>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left="-115" w:leftChars="-55" w:right="-115"/>
              <w:jc w:val="left"/>
              <w:rPr>
                <w:rFonts w:ascii="宋体" w:hAnsi="宋体" w:eastAsia="宋体" w:cs="Times New Roman"/>
                <w:color w:val="000000"/>
                <w:sz w:val="17"/>
                <w:szCs w:val="17"/>
              </w:rPr>
            </w:pPr>
            <w:r>
              <w:rPr>
                <w:rFonts w:hint="eastAsia" w:ascii="黑体" w:hAnsi="黑体" w:eastAsia="黑体" w:cs="Times New Roman"/>
                <w:color w:val="auto"/>
                <w:sz w:val="18"/>
                <w:szCs w:val="18"/>
                <w:lang w:val="en-US" w:eastAsia="zh-CN"/>
              </w:rPr>
              <w:t>5.</w:t>
            </w:r>
            <w:r>
              <w:rPr>
                <w:rFonts w:hint="eastAsia" w:ascii="黑体" w:hAnsi="黑体" w:eastAsia="黑体" w:cs="Times New Roman"/>
                <w:color w:val="auto"/>
                <w:sz w:val="18"/>
                <w:szCs w:val="18"/>
              </w:rPr>
              <w:t>工作路径不断创新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40" w:hRule="atLeast"/>
          <w:jc w:val="center"/>
        </w:trPr>
        <w:tc>
          <w:tcPr>
            <w:tcW w:w="826" w:type="dxa"/>
            <w:noWrap w:val="0"/>
            <w:vAlign w:val="center"/>
          </w:tcPr>
          <w:p>
            <w:pPr>
              <w:spacing w:line="220" w:lineRule="exact"/>
              <w:ind w:left="-20" w:leftChars="-50" w:right="6" w:hanging="85" w:hanging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5.14</w:t>
            </w:r>
          </w:p>
        </w:tc>
        <w:tc>
          <w:tcPr>
            <w:tcW w:w="4024" w:type="dxa"/>
            <w:gridSpan w:val="2"/>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积极探索社区“党建+”育人模式，着力打造多维度的“党建+”品牌特色活动，形成“一站式”学生社区党建工作精品培育机制，形成良好的工作成效。</w:t>
            </w:r>
          </w:p>
        </w:tc>
        <w:tc>
          <w:tcPr>
            <w:tcW w:w="909" w:type="dxa"/>
            <w:noWrap w:val="0"/>
            <w:vAlign w:val="center"/>
          </w:tcPr>
          <w:p>
            <w:pPr>
              <w:tabs>
                <w:tab w:val="left" w:pos="209"/>
              </w:tabs>
              <w:spacing w:line="220" w:lineRule="exact"/>
              <w:ind w:left="-20" w:leftChars="-50" w:right="6" w:hanging="85" w:hangingChars="50"/>
              <w:jc w:val="left"/>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5.14-1</w:t>
            </w:r>
          </w:p>
        </w:tc>
        <w:tc>
          <w:tcPr>
            <w:tcW w:w="3124" w:type="dxa"/>
            <w:gridSpan w:val="2"/>
            <w:noWrap w:val="0"/>
            <w:vAlign w:val="center"/>
          </w:tcPr>
          <w:p>
            <w:pPr>
              <w:tabs>
                <w:tab w:val="left" w:pos="890"/>
              </w:tabs>
              <w:spacing w:line="220" w:lineRule="exact"/>
              <w:ind w:left="-20" w:leftChars="-50" w:right="6" w:hanging="85" w:hangingChars="50"/>
              <w:rPr>
                <w:rFonts w:hint="eastAsia" w:ascii="宋体" w:hAnsi="宋体" w:eastAsia="宋体" w:cs="Times New Roman"/>
                <w:color w:val="000000"/>
                <w:sz w:val="17"/>
                <w:szCs w:val="17"/>
                <w:lang w:val="en-US" w:eastAsia="zh-CN"/>
              </w:rPr>
            </w:pPr>
          </w:p>
        </w:tc>
        <w:tc>
          <w:tcPr>
            <w:tcW w:w="1123" w:type="dxa"/>
            <w:gridSpan w:val="2"/>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FABF8F"/>
            <w:noWrap w:val="0"/>
            <w:vAlign w:val="center"/>
          </w:tcPr>
          <w:p>
            <w:pPr>
              <w:spacing w:line="220" w:lineRule="exact"/>
              <w:ind w:left="-105" w:leftChars="-50" w:right="6"/>
              <w:rPr>
                <w:rFonts w:ascii="黑体" w:hAnsi="黑体" w:eastAsia="黑体" w:cs="Times New Roman"/>
                <w:color w:val="000000"/>
                <w:sz w:val="17"/>
                <w:szCs w:val="17"/>
              </w:rPr>
            </w:pPr>
            <w:r>
              <w:rPr>
                <w:rFonts w:hint="eastAsia" w:ascii="黑体" w:hAnsi="黑体" w:eastAsia="黑体" w:cs="Times New Roman"/>
                <w:color w:val="000000"/>
                <w:sz w:val="22"/>
                <w:szCs w:val="22"/>
                <w:lang w:eastAsia="zh-CN"/>
              </w:rPr>
              <w:t xml:space="preserve"> </w:t>
            </w:r>
            <w:r>
              <w:rPr>
                <w:rFonts w:hint="eastAsia" w:ascii="黑体" w:hAnsi="黑体" w:eastAsia="黑体" w:cs="Times New Roman"/>
                <w:color w:val="000000"/>
                <w:sz w:val="22"/>
                <w:szCs w:val="22"/>
                <w:lang w:val="en-US" w:eastAsia="zh-CN"/>
              </w:rPr>
              <w:t>B</w:t>
            </w:r>
            <w:r>
              <w:rPr>
                <w:rFonts w:hint="eastAsia" w:ascii="黑体" w:hAnsi="黑体" w:eastAsia="黑体" w:cs="Times New Roman"/>
                <w:color w:val="000000"/>
                <w:sz w:val="22"/>
                <w:szCs w:val="22"/>
                <w:lang w:eastAsia="zh-CN"/>
              </w:rPr>
              <w:t>.队伍入驻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rPr>
                <w:rFonts w:ascii="黑体" w:hAnsi="黑体" w:eastAsia="黑体" w:cs="Times New Roman"/>
                <w:color w:val="000000"/>
                <w:sz w:val="17"/>
                <w:szCs w:val="17"/>
              </w:rPr>
            </w:pPr>
            <w:r>
              <w:rPr>
                <w:rFonts w:hint="eastAsia" w:ascii="黑体" w:hAnsi="黑体" w:eastAsia="黑体" w:cs="Times New Roman"/>
                <w:color w:val="000000"/>
                <w:sz w:val="18"/>
                <w:szCs w:val="18"/>
              </w:rPr>
              <w:t xml:space="preserve">  </w:t>
            </w:r>
            <w:r>
              <w:rPr>
                <w:rFonts w:ascii="黑体" w:hAnsi="黑体" w:eastAsia="黑体" w:cs="Times New Roman"/>
                <w:color w:val="000000"/>
                <w:sz w:val="18"/>
                <w:szCs w:val="18"/>
              </w:rPr>
              <w:t>1</w:t>
            </w:r>
            <w:r>
              <w:rPr>
                <w:rFonts w:hint="eastAsia" w:ascii="黑体" w:hAnsi="黑体" w:eastAsia="黑体" w:cs="Times New Roman"/>
                <w:color w:val="000000"/>
                <w:sz w:val="18"/>
                <w:szCs w:val="18"/>
              </w:rPr>
              <w:t>领导力量下沉一线</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1.1</w:t>
            </w:r>
          </w:p>
        </w:tc>
        <w:tc>
          <w:tcPr>
            <w:tcW w:w="4020" w:type="dxa"/>
            <w:vMerge w:val="restart"/>
            <w:noWrap w:val="0"/>
            <w:vAlign w:val="center"/>
          </w:tcPr>
          <w:p>
            <w:pPr>
              <w:spacing w:line="220" w:lineRule="exact"/>
              <w:ind w:left="-20" w:leftChars="-50" w:right="6" w:hanging="85" w:hangingChars="50"/>
              <w:rPr>
                <w:rFonts w:hint="default" w:ascii="宋体" w:hAnsi="宋体" w:eastAsia="宋体" w:cs="Times New Roman"/>
                <w:color w:val="000000"/>
                <w:sz w:val="17"/>
                <w:szCs w:val="17"/>
                <w:lang w:val="en-US" w:eastAsia="zh-CN"/>
              </w:rPr>
            </w:pPr>
            <w:r>
              <w:rPr>
                <w:rFonts w:ascii="宋体" w:hAnsi="宋体" w:eastAsia="宋体" w:cs="Times New Roman"/>
                <w:color w:val="000000"/>
                <w:sz w:val="17"/>
                <w:szCs w:val="17"/>
              </w:rPr>
              <w:t xml:space="preserve"> </w:t>
            </w:r>
            <w:r>
              <w:rPr>
                <w:rFonts w:hint="eastAsia" w:ascii="宋体" w:hAnsi="宋体" w:eastAsia="宋体" w:cs="Times New Roman"/>
                <w:color w:val="000000"/>
                <w:sz w:val="17"/>
                <w:szCs w:val="17"/>
                <w:lang w:val="en-US" w:eastAsia="zh-CN"/>
              </w:rPr>
              <w:t>学校党委出台领导干部深入基层联系学生工作方案，并将其纳入学校干部任用工作重要依据，纳入党员领导干部民主生活会对照检查重要内容，纳入院（系）级党组织抓党建述职评议考核指标体系</w:t>
            </w: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hint="eastAsia" w:ascii="宋体" w:hAnsi="宋体" w:eastAsia="宋体" w:cs="Times New Roman"/>
                <w:color w:val="000000"/>
                <w:sz w:val="17"/>
                <w:szCs w:val="17"/>
                <w:lang w:val="en-US" w:eastAsia="zh-CN"/>
              </w:rPr>
              <w:t>1.1</w:t>
            </w:r>
            <w:r>
              <w:rPr>
                <w:rFonts w:hint="eastAsia" w:ascii="宋体" w:hAnsi="宋体" w:eastAsia="宋体" w:cs="Times New Roman"/>
                <w:color w:val="000000"/>
                <w:sz w:val="17"/>
                <w:szCs w:val="17"/>
              </w:rPr>
              <w:t>-1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78" w:leftChars="-85" w:right="-115" w:firstLine="86" w:firstLineChars="51"/>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hint="eastAsia" w:ascii="宋体" w:hAnsi="宋体" w:eastAsia="宋体" w:cs="Times New Roman"/>
                <w:color w:val="000000"/>
                <w:sz w:val="17"/>
                <w:szCs w:val="17"/>
                <w:lang w:val="en-US" w:eastAsia="zh-CN"/>
              </w:rPr>
              <w:t>1.1</w:t>
            </w:r>
            <w:r>
              <w:rPr>
                <w:rFonts w:hint="eastAsia" w:ascii="宋体" w:hAnsi="宋体" w:eastAsia="宋体" w:cs="Times New Roman"/>
                <w:color w:val="000000"/>
                <w:sz w:val="17"/>
                <w:szCs w:val="17"/>
              </w:rPr>
              <w:t>-2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hint="eastAsia" w:ascii="宋体" w:hAnsi="宋体" w:eastAsia="宋体" w:cs="Times New Roman"/>
                <w:color w:val="000000"/>
                <w:sz w:val="17"/>
                <w:szCs w:val="17"/>
                <w:lang w:val="en-US" w:eastAsia="zh-CN"/>
              </w:rPr>
              <w:t>1.1</w:t>
            </w:r>
            <w:r>
              <w:rPr>
                <w:rFonts w:hint="eastAsia" w:ascii="宋体" w:hAnsi="宋体" w:eastAsia="宋体" w:cs="Times New Roman"/>
                <w:color w:val="000000"/>
                <w:sz w:val="17"/>
                <w:szCs w:val="17"/>
              </w:rPr>
              <w:t>-3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hint="eastAsia" w:ascii="宋体" w:hAnsi="宋体" w:eastAsia="宋体" w:cs="Times New Roman"/>
                <w:color w:val="000000"/>
                <w:sz w:val="17"/>
                <w:szCs w:val="17"/>
                <w:lang w:val="en-US" w:eastAsia="zh-CN"/>
              </w:rPr>
              <w:t>1.1</w:t>
            </w:r>
            <w:r>
              <w:rPr>
                <w:rFonts w:hint="eastAsia" w:ascii="宋体" w:hAnsi="宋体" w:eastAsia="宋体" w:cs="Times New Roman"/>
                <w:color w:val="000000"/>
                <w:sz w:val="17"/>
                <w:szCs w:val="17"/>
              </w:rPr>
              <w:t>-4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学校领导班子成员主动进课堂、进班级、进社区，深入一线联系学生，每学期至少给学生讲1堂思想政治理论课或形势政策课，平均每周至少1名班子成员与学生“面对面”交流1次（确保月月不断线）。每人联系1个学生班级或1个学生宿舍或1个学生社团等。</w:t>
            </w: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-2</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-4</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-5</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-6</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7</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8</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9</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10</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11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12</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p>
        </w:tc>
        <w:tc>
          <w:tcPr>
            <w:tcW w:w="40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85" w:firstLineChars="50"/>
              <w:jc w:val="left"/>
              <w:textAlignment w:val="center"/>
              <w:rPr>
                <w:rFonts w:hint="default"/>
                <w:lang w:val="en-US" w:eastAsia="zh-CN"/>
              </w:rPr>
            </w:pPr>
            <w:r>
              <w:rPr>
                <w:rFonts w:hint="eastAsia" w:ascii="宋体" w:hAnsi="宋体" w:eastAsia="宋体" w:cs="Times New Roman"/>
                <w:color w:val="000000"/>
                <w:sz w:val="17"/>
                <w:szCs w:val="17"/>
                <w:lang w:val="en-US" w:eastAsia="zh-CN"/>
              </w:rPr>
              <w:t>学校建立社区党建工作联系点，校级领导和院系负责人每学期至少到所联系的党组织或功能型党组织参加1次组织生活或主题党日活动。</w:t>
            </w: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-2</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-5</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-6</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7</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8</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9</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10</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11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12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13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r>
              <w:rPr>
                <w:rFonts w:hint="eastAsia" w:ascii="宋体" w:hAnsi="宋体" w:eastAsia="宋体" w:cs="Times New Roman"/>
                <w:color w:val="000000"/>
                <w:sz w:val="17"/>
                <w:szCs w:val="17"/>
              </w:rPr>
              <w:t>-</w:t>
            </w:r>
            <w:r>
              <w:rPr>
                <w:rFonts w:hint="eastAsia" w:ascii="宋体" w:hAnsi="宋体" w:eastAsia="宋体" w:cs="Times New Roman"/>
                <w:color w:val="000000"/>
                <w:sz w:val="17"/>
                <w:szCs w:val="17"/>
                <w:lang w:val="en-US" w:eastAsia="zh-CN"/>
              </w:rPr>
              <w:t>14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hint="default" w:ascii="黑体" w:hAnsi="黑体" w:eastAsia="黑体" w:cs="Times New Roman"/>
                <w:color w:val="000000"/>
                <w:sz w:val="17"/>
                <w:szCs w:val="17"/>
                <w:lang w:val="en-US" w:eastAsia="zh-CN"/>
              </w:rPr>
            </w:pPr>
            <w:r>
              <w:rPr>
                <w:rFonts w:ascii="黑体" w:hAnsi="黑体" w:eastAsia="黑体" w:cs="Times New Roman"/>
                <w:color w:val="000000"/>
                <w:sz w:val="18"/>
                <w:szCs w:val="18"/>
              </w:rPr>
              <w:t>2</w:t>
            </w:r>
            <w:r>
              <w:rPr>
                <w:rFonts w:hint="eastAsia" w:ascii="黑体" w:hAnsi="黑体" w:eastAsia="黑体" w:cs="Times New Roman"/>
                <w:color w:val="000000"/>
                <w:sz w:val="18"/>
                <w:szCs w:val="18"/>
                <w:lang w:val="en-US" w:eastAsia="zh-CN"/>
              </w:rPr>
              <w:t>思政力量扎根一线</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2.4</w:t>
            </w:r>
          </w:p>
        </w:tc>
        <w:tc>
          <w:tcPr>
            <w:tcW w:w="4020" w:type="dxa"/>
            <w:vMerge w:val="restart"/>
            <w:noWrap w:val="0"/>
            <w:vAlign w:val="center"/>
          </w:tcPr>
          <w:p>
            <w:pPr>
              <w:spacing w:line="220" w:lineRule="exact"/>
              <w:ind w:left="-21" w:leftChars="-10" w:right="6"/>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学校建立辅导员入驻学生社区机制，制定驻楼工作指南，明确社区工作职责要求，有效实现辅导员与社区学生同场域、同频率、同成长，更准确地把握学生中存在的共性问题和个性问题，增强解决问题的针对性和时效性。</w:t>
            </w: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hint="eastAsia" w:ascii="宋体" w:hAnsi="宋体" w:eastAsia="宋体" w:cs="Times New Roman"/>
                <w:color w:val="000000"/>
                <w:sz w:val="17"/>
                <w:szCs w:val="17"/>
                <w:lang w:val="en-US" w:eastAsia="zh-CN"/>
              </w:rPr>
              <w:t>2.4</w:t>
            </w:r>
            <w:r>
              <w:rPr>
                <w:rFonts w:hint="eastAsia" w:ascii="宋体" w:hAnsi="宋体" w:eastAsia="宋体" w:cs="Times New Roman"/>
                <w:color w:val="000000"/>
                <w:sz w:val="17"/>
                <w:szCs w:val="17"/>
              </w:rPr>
              <w:t>-1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101"/>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hint="eastAsia" w:ascii="宋体" w:hAnsi="宋体" w:eastAsia="宋体" w:cs="Times New Roman"/>
                <w:color w:val="000000"/>
                <w:sz w:val="17"/>
                <w:szCs w:val="17"/>
                <w:lang w:val="en-US" w:eastAsia="zh-CN"/>
              </w:rPr>
              <w:t>2.4</w:t>
            </w:r>
            <w:r>
              <w:rPr>
                <w:rFonts w:hint="eastAsia" w:ascii="宋体" w:hAnsi="宋体" w:eastAsia="宋体" w:cs="Times New Roman"/>
                <w:color w:val="000000"/>
                <w:sz w:val="17"/>
                <w:szCs w:val="17"/>
              </w:rPr>
              <w:t>-2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05" w:leftChars="-50" w:right="-101" w:firstLine="170" w:firstLineChars="100"/>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hint="eastAsia" w:ascii="宋体" w:hAnsi="宋体" w:eastAsia="宋体" w:cs="Times New Roman"/>
                <w:color w:val="000000"/>
                <w:sz w:val="17"/>
                <w:szCs w:val="17"/>
                <w:lang w:val="en-US" w:eastAsia="zh-CN"/>
              </w:rPr>
              <w:t>2.4</w:t>
            </w:r>
            <w:r>
              <w:rPr>
                <w:rFonts w:hint="eastAsia" w:ascii="宋体" w:hAnsi="宋体" w:eastAsia="宋体" w:cs="Times New Roman"/>
                <w:color w:val="000000"/>
                <w:sz w:val="17"/>
                <w:szCs w:val="17"/>
              </w:rPr>
              <w:t>-3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6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 xml:space="preserve"> 2.4</w:t>
            </w:r>
            <w:r>
              <w:rPr>
                <w:rFonts w:hint="eastAsia" w:ascii="宋体" w:hAnsi="宋体" w:eastAsia="宋体" w:cs="Times New Roman"/>
                <w:color w:val="000000"/>
                <w:sz w:val="17"/>
                <w:szCs w:val="17"/>
              </w:rPr>
              <w:t>-4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101"/>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rPr>
            </w:pPr>
            <w:r>
              <w:rPr>
                <w:rFonts w:hint="eastAsia" w:ascii="宋体" w:hAnsi="宋体" w:eastAsia="宋体" w:cs="Times New Roman"/>
                <w:color w:val="000000"/>
                <w:sz w:val="17"/>
                <w:szCs w:val="17"/>
                <w:lang w:val="en-US" w:eastAsia="zh-CN"/>
              </w:rPr>
              <w:t>2.5</w:t>
            </w:r>
          </w:p>
        </w:tc>
        <w:tc>
          <w:tcPr>
            <w:tcW w:w="4020" w:type="dxa"/>
            <w:vMerge w:val="restart"/>
            <w:noWrap w:val="0"/>
            <w:vAlign w:val="center"/>
          </w:tcPr>
          <w:p>
            <w:pPr>
              <w:spacing w:line="220" w:lineRule="exact"/>
              <w:ind w:left="-21" w:leftChars="-10" w:right="6"/>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辅导员在社区内常态化与学生开展思想交流和互动，指导开展各项思政教育活动，参与各类文化艺术体育活动，全面了解学生思想动态。</w:t>
            </w:r>
          </w:p>
        </w:tc>
        <w:tc>
          <w:tcPr>
            <w:tcW w:w="915" w:type="dxa"/>
            <w:gridSpan w:val="3"/>
            <w:noWrap w:val="0"/>
            <w:vAlign w:val="center"/>
          </w:tcPr>
          <w:p>
            <w:pPr>
              <w:keepNext w:val="0"/>
              <w:keepLines w:val="0"/>
              <w:widowControl/>
              <w:suppressLineNumbers w:val="0"/>
              <w:jc w:val="center"/>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center"/>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2.5-2</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center"/>
              <w:textAlignment w:val="center"/>
              <w:rPr>
                <w:rFonts w:hint="eastAsia" w:ascii="宋体" w:hAnsi="宋体" w:eastAsia="宋体" w:cs="Times New Roman"/>
                <w:color w:val="000000"/>
                <w:sz w:val="17"/>
                <w:szCs w:val="17"/>
                <w:lang w:val="en-US" w:eastAsia="zh-CN"/>
              </w:rPr>
            </w:pPr>
            <w:r>
              <w:rPr>
                <w:rFonts w:hint="eastAsia" w:ascii="宋体" w:hAnsi="宋体" w:eastAsia="宋体" w:cs="宋体"/>
                <w:i w:val="0"/>
                <w:iCs w:val="0"/>
                <w:color w:val="000000"/>
                <w:kern w:val="0"/>
                <w:sz w:val="17"/>
                <w:szCs w:val="17"/>
                <w:u w:val="none"/>
                <w:lang w:val="en-US" w:eastAsia="zh-CN" w:bidi="ar"/>
              </w:rPr>
              <w:t>2.5-3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center"/>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center"/>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2.5-5</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center"/>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2.5-6</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center"/>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2.5-7</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center"/>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2.5-8</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center"/>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2.5-9</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2.5-10</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2.5-12</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2.5-14</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2.5-15</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39"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2.5-16</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default" w:ascii="宋体" w:hAnsi="宋体" w:eastAsia="宋体" w:cs="Times New Roman"/>
                <w:color w:val="000000"/>
                <w:sz w:val="17"/>
                <w:szCs w:val="17"/>
                <w:lang w:val="en-US" w:eastAsia="zh-CN"/>
              </w:rPr>
            </w:pPr>
            <w:r>
              <w:rPr>
                <w:rFonts w:hint="eastAsia" w:ascii="宋体" w:hAnsi="宋体" w:eastAsia="宋体" w:cs="宋体"/>
                <w:i w:val="0"/>
                <w:iCs w:val="0"/>
                <w:color w:val="000000"/>
                <w:kern w:val="0"/>
                <w:sz w:val="17"/>
                <w:szCs w:val="17"/>
                <w:u w:val="none"/>
                <w:lang w:val="en-US" w:eastAsia="zh-CN" w:bidi="ar"/>
              </w:rPr>
              <w:t>2.5-17</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2.5-18</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2.5-19</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2.5-20</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w:t>
            </w:r>
          </w:p>
        </w:tc>
        <w:tc>
          <w:tcPr>
            <w:tcW w:w="4020" w:type="dxa"/>
            <w:vMerge w:val="restart"/>
            <w:noWrap w:val="0"/>
            <w:vAlign w:val="center"/>
          </w:tcPr>
          <w:p>
            <w:pPr>
              <w:spacing w:line="220" w:lineRule="exact"/>
              <w:ind w:left="-21" w:leftChars="-10" w:right="6"/>
              <w:jc w:val="both"/>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辅导员每周在社区开展谈心谈话、小组交、宿舍走访等工作，加强学生生活关心和成长帮扶，有效掌握学生生活状态，及时解决学生实际问题。</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2.6-1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restart"/>
            <w:noWrap w:val="0"/>
            <w:vAlign w:val="center"/>
          </w:tcPr>
          <w:p>
            <w:pPr>
              <w:pStyle w:val="2"/>
              <w:rPr>
                <w:rFonts w:hint="eastAsia"/>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2.6-2</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2.6-3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2.6-4</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2.6-5</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2.6-6</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2.6-7</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w:t>
            </w:r>
          </w:p>
        </w:tc>
        <w:tc>
          <w:tcPr>
            <w:tcW w:w="4020" w:type="dxa"/>
            <w:vMerge w:val="restart"/>
            <w:noWrap w:val="0"/>
            <w:vAlign w:val="center"/>
          </w:tcPr>
          <w:p>
            <w:pPr>
              <w:spacing w:line="220" w:lineRule="exact"/>
              <w:ind w:left="-21" w:leftChars="-10" w:right="6"/>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学校在学生社区组织开展党政团干部、思想政治理论课教师等其他思政队伍主导的深度交流活动，把解决学生思想问题与促进学生成长相结合，开展特色思政育人活动。</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2.7-1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2.7-2</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2.7-3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2.7-4</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2.7-5</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2.7-6</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2.7-7</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hint="default" w:ascii="黑体" w:hAnsi="黑体" w:eastAsia="黑体" w:cs="Times New Roman"/>
                <w:color w:val="000000"/>
                <w:sz w:val="17"/>
                <w:szCs w:val="17"/>
                <w:lang w:val="en-US" w:eastAsia="zh-CN"/>
              </w:rPr>
            </w:pPr>
            <w:r>
              <w:rPr>
                <w:rFonts w:ascii="黑体" w:hAnsi="黑体" w:eastAsia="黑体" w:cs="Times New Roman"/>
                <w:color w:val="000000"/>
                <w:sz w:val="18"/>
                <w:szCs w:val="18"/>
              </w:rPr>
              <w:t>3</w:t>
            </w:r>
            <w:r>
              <w:rPr>
                <w:rFonts w:hint="eastAsia" w:ascii="黑体" w:hAnsi="黑体" w:eastAsia="黑体" w:cs="Times New Roman"/>
                <w:color w:val="000000"/>
                <w:sz w:val="18"/>
                <w:szCs w:val="18"/>
                <w:lang w:val="en-US" w:eastAsia="zh-CN"/>
              </w:rPr>
              <w:t>专业力量围绕一线</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3.8</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选拔有一定工作经历的优秀专人教师以学业导师等身份在社区发挥作用，每月与学生“面对面”交流不少于2次，指导学生学业发展、科研训练、技能实训、项目实践、生涯规划等。</w:t>
            </w: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restart"/>
            <w:noWrap w:val="0"/>
            <w:vAlign w:val="center"/>
          </w:tcPr>
          <w:p>
            <w:pPr>
              <w:spacing w:line="240" w:lineRule="exact"/>
              <w:ind w:right="-115"/>
              <w:rPr>
                <w:rFonts w:hint="eastAsia" w:ascii="宋体" w:hAnsi="宋体" w:eastAsia="宋体" w:cs="Times New Roman"/>
                <w:color w:val="000000"/>
                <w:sz w:val="17"/>
                <w:szCs w:val="17"/>
                <w:lang w:eastAsia="zh-CN"/>
              </w:rPr>
            </w:pPr>
          </w:p>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continue"/>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continue"/>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continue"/>
            <w:noWrap w:val="0"/>
            <w:vAlign w:val="center"/>
          </w:tcPr>
          <w:p>
            <w:pPr>
              <w:spacing w:line="240" w:lineRule="exact"/>
              <w:ind w:right="-115"/>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3.8-8</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continue"/>
            <w:noWrap w:val="0"/>
            <w:vAlign w:val="center"/>
          </w:tcPr>
          <w:p>
            <w:pPr>
              <w:spacing w:line="240" w:lineRule="exact"/>
              <w:ind w:left="-105" w:leftChars="-50"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ascii="宋体" w:hAnsi="宋体" w:eastAsia="宋体" w:cs="Times New Roman"/>
                <w:color w:val="000000"/>
                <w:sz w:val="17"/>
                <w:szCs w:val="17"/>
              </w:rPr>
            </w:pPr>
            <w:r>
              <w:rPr>
                <w:rFonts w:hint="eastAsia" w:ascii="宋体" w:hAnsi="宋体" w:eastAsia="宋体" w:cs="宋体"/>
                <w:i w:val="0"/>
                <w:iCs w:val="0"/>
                <w:color w:val="000000"/>
                <w:kern w:val="0"/>
                <w:sz w:val="17"/>
                <w:szCs w:val="17"/>
                <w:u w:val="none"/>
                <w:lang w:val="en-US" w:eastAsia="zh-CN" w:bidi="ar"/>
              </w:rPr>
              <w:t>3.8-9</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3.9</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组织学术名家、行业专家等优秀专业师资，常态化在社区开展主题讲座和沙龙分享，引导学生主动投身专业发展。</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3.9-8</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3.9-9</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3.9-10</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3.9-18</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3.9-19</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w:t>
            </w:r>
          </w:p>
        </w:tc>
        <w:tc>
          <w:tcPr>
            <w:tcW w:w="4020" w:type="dxa"/>
            <w:vMerge w:val="restart"/>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邀请校内外专业安全教育队伍走进学生社区，将国家安全教育与通识培养、专业教育结合，常态化开展安全教育第二课堂活动，健全安全教育体系，打造安全教育特色品牌。</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3.10-1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hint="eastAsia" w:ascii="宋体" w:hAnsi="宋体" w:eastAsia="宋体" w:cs="Times New Roman"/>
                <w:color w:val="000000"/>
                <w:sz w:val="17"/>
                <w:szCs w:val="17"/>
                <w:lang w:eastAsia="zh-CN"/>
              </w:rPr>
            </w:pPr>
          </w:p>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3.10-2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3.10-3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3.10-4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3.10-5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3.10-6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3.10-7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3.10-8</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hint="default" w:ascii="黑体" w:hAnsi="黑体" w:eastAsia="黑体" w:cs="Times New Roman"/>
                <w:color w:val="000000"/>
                <w:sz w:val="17"/>
                <w:szCs w:val="17"/>
                <w:lang w:val="en-US" w:eastAsia="zh-CN"/>
              </w:rPr>
            </w:pPr>
            <w:r>
              <w:rPr>
                <w:rFonts w:hint="eastAsia" w:ascii="黑体" w:hAnsi="黑体" w:eastAsia="黑体" w:cs="Times New Roman"/>
                <w:color w:val="000000"/>
                <w:sz w:val="18"/>
                <w:szCs w:val="18"/>
                <w:lang w:val="en-US" w:eastAsia="zh-CN"/>
              </w:rPr>
              <w:t>4管理服务汇聚一线</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4.11</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按照师生比1:4000足额配备心理咨询师，紧密围绕学生在学习生活中可能遇到的心理问题，常态化开展个体辅导和团体辅导，及时有效调适学生心理、化解学生问题。</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4.11-8</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4.11-9</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4.11-10</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4.11-11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4.11-12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4.11-13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4.11-14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4.11-15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建立健全学业帮扶队伍，构建完善的血液支持体系，重点加大对学业困难学生的帮扶力度，提升学业质量</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4.12-8</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4.12-9</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4.13</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引入学涯生涯规划、就业创业指导等服务队伍，常态化开展个体咨询和主题讲座，为学生学涯生涯发展提供暖心指导和深度引导。</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4.13-1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4.13-2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4.13-3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4.13-4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4.13-5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4.13-6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4.13-7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4.13-8</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4.14</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充分发挥后勤人员服务育人作用，结合自身工作特点，在社区内为学生做好生活关心和成长引导。</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4.14-1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4.14-2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4.14-3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4.14-4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4.14-5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4.14-6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4.14-7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hint="default" w:ascii="黑体" w:hAnsi="黑体" w:eastAsia="黑体" w:cs="Times New Roman"/>
                <w:color w:val="000000"/>
                <w:sz w:val="17"/>
                <w:szCs w:val="17"/>
                <w:lang w:val="en-US" w:eastAsia="zh-CN"/>
              </w:rPr>
            </w:pPr>
            <w:r>
              <w:rPr>
                <w:rFonts w:hint="eastAsia" w:ascii="黑体" w:hAnsi="黑体" w:eastAsia="黑体" w:cs="Times New Roman"/>
                <w:color w:val="000000"/>
                <w:sz w:val="18"/>
                <w:szCs w:val="18"/>
                <w:lang w:val="en-US" w:eastAsia="zh-CN"/>
              </w:rPr>
              <w:t>5育人力量持续凝聚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5.15</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根据上级要求和学校工作实际，整合校内外各方育人资源，丰富社区育人队伍结构与人员数量，确保育人力量不断扩充</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5.15-1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5.15-2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5.15-3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5.15-4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5.15-5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5.15-6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5.16</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定期开展社区育人队伍教育培训、交流研讨、实践锻炼等，不断提升素质能力和服务水平，确保队伍建设质量不断深入。</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5.16-6</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5.16-7</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5.16-8</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5.16-9</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5.16-10</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5.16-11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5.17</w:t>
            </w:r>
          </w:p>
        </w:tc>
        <w:tc>
          <w:tcPr>
            <w:tcW w:w="4020" w:type="dxa"/>
            <w:vMerge w:val="restart"/>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依托自身办学定位，充分发挥学校特色，选树一批社区育人榜样，打造系列社区育人品牌，确保先进典型不断涌现。</w:t>
            </w: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5.17-1</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right="6"/>
              <w:rPr>
                <w:rFonts w:hint="eastAsia" w:ascii="宋体" w:hAnsi="宋体" w:eastAsia="宋体" w:cs="Times New Roman"/>
                <w:color w:val="000000"/>
                <w:sz w:val="17"/>
                <w:szCs w:val="17"/>
                <w:lang w:eastAsia="zh-CN"/>
              </w:rPr>
            </w:pPr>
          </w:p>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5.17-2</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5.17-3</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5.17-4</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7"/>
                <w:szCs w:val="17"/>
                <w:u w:val="none"/>
                <w:lang w:val="en-US" w:eastAsia="zh-CN" w:bidi="ar"/>
              </w:rPr>
            </w:pPr>
            <w:r>
              <w:rPr>
                <w:rFonts w:hint="eastAsia" w:ascii="宋体" w:hAnsi="宋体" w:eastAsia="宋体" w:cs="宋体"/>
                <w:i w:val="0"/>
                <w:iCs w:val="0"/>
                <w:color w:val="000000"/>
                <w:kern w:val="0"/>
                <w:sz w:val="17"/>
                <w:szCs w:val="17"/>
                <w:u w:val="none"/>
                <w:lang w:val="en-US" w:eastAsia="zh-CN" w:bidi="ar"/>
              </w:rPr>
              <w:t>5.17-5</w:t>
            </w:r>
          </w:p>
        </w:tc>
        <w:tc>
          <w:tcPr>
            <w:tcW w:w="3182" w:type="dxa"/>
            <w:gridSpan w:val="2"/>
            <w:noWrap w:val="0"/>
            <w:vAlign w:val="center"/>
          </w:tcPr>
          <w:p>
            <w:pPr>
              <w:spacing w:line="200" w:lineRule="exact"/>
              <w:jc w:val="lef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right="6"/>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FABF8F"/>
            <w:noWrap w:val="0"/>
            <w:vAlign w:val="center"/>
          </w:tcPr>
          <w:p>
            <w:pPr>
              <w:tabs>
                <w:tab w:val="right" w:pos="10861"/>
              </w:tabs>
              <w:spacing w:line="220" w:lineRule="exact"/>
              <w:ind w:left="-105" w:leftChars="-50" w:right="6"/>
              <w:rPr>
                <w:rFonts w:hint="eastAsia" w:ascii="黑体" w:hAnsi="黑体" w:eastAsia="黑体" w:cs="Times New Roman"/>
                <w:color w:val="000000"/>
                <w:sz w:val="17"/>
                <w:szCs w:val="17"/>
                <w:lang w:eastAsia="zh-CN"/>
              </w:rPr>
            </w:pPr>
            <w:r>
              <w:rPr>
                <w:rFonts w:hint="eastAsia" w:ascii="黑体" w:hAnsi="黑体" w:eastAsia="黑体" w:cs="Times New Roman"/>
                <w:color w:val="000000"/>
                <w:sz w:val="21"/>
                <w:szCs w:val="21"/>
              </w:rPr>
              <w:t xml:space="preserve">  C.学生参与</w:t>
            </w:r>
            <w:r>
              <w:rPr>
                <w:rFonts w:hint="eastAsia" w:ascii="黑体" w:hAnsi="黑体" w:eastAsia="黑体" w:cs="Times New Roman"/>
                <w:color w:val="000000"/>
                <w:sz w:val="17"/>
                <w:szCs w:val="17"/>
                <w:lang w:eastAsia="zh-CN"/>
              </w:rPr>
              <w:tab/>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ascii="黑体" w:hAnsi="黑体" w:eastAsia="黑体" w:cs="Times New Roman"/>
                <w:color w:val="000000"/>
                <w:sz w:val="17"/>
                <w:szCs w:val="17"/>
              </w:rPr>
            </w:pPr>
            <w:r>
              <w:rPr>
                <w:rFonts w:hint="eastAsia" w:ascii="黑体" w:hAnsi="黑体" w:eastAsia="黑体" w:cs="Times New Roman"/>
                <w:color w:val="000000"/>
                <w:sz w:val="18"/>
                <w:szCs w:val="18"/>
              </w:rPr>
              <w:t>1.完善社区学生组织建设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1.1</w:t>
            </w:r>
          </w:p>
        </w:tc>
        <w:tc>
          <w:tcPr>
            <w:tcW w:w="4020" w:type="dxa"/>
            <w:vMerge w:val="restart"/>
            <w:noWrap w:val="0"/>
            <w:vAlign w:val="center"/>
          </w:tcPr>
          <w:p>
            <w:pPr>
              <w:spacing w:line="220" w:lineRule="exact"/>
              <w:ind w:left="-20" w:leftChars="-50" w:right="6" w:hanging="85" w:hangingChars="50"/>
              <w:rPr>
                <w:rFonts w:ascii="宋体" w:hAnsi="宋体" w:eastAsia="宋体" w:cs="Times New Roman"/>
                <w:color w:val="000000"/>
                <w:sz w:val="17"/>
                <w:szCs w:val="17"/>
              </w:rPr>
            </w:pPr>
            <w:r>
              <w:rPr>
                <w:rFonts w:ascii="宋体" w:hAnsi="宋体" w:eastAsia="宋体" w:cs="Times New Roman"/>
                <w:color w:val="000000"/>
                <w:sz w:val="17"/>
                <w:szCs w:val="17"/>
              </w:rPr>
              <w:t xml:space="preserve"> </w:t>
            </w:r>
            <w:r>
              <w:rPr>
                <w:rFonts w:hint="eastAsia" w:ascii="宋体" w:hAnsi="宋体" w:eastAsia="宋体" w:cs="Times New Roman"/>
                <w:color w:val="000000"/>
                <w:sz w:val="17"/>
                <w:szCs w:val="17"/>
              </w:rPr>
              <w:t>设立社区学生党组织（含功能型学生党组织），按照《中国共产党普通高等学校基层组织工作条例》要求，选拔优秀辅导员、骨干教师、优秀学生党员担任负责人，健全制度体系和工作机制，强化党组织政治功能和组织功能。</w:t>
            </w: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w:t>
            </w:r>
            <w:r>
              <w:rPr>
                <w:rFonts w:ascii="宋体" w:hAnsi="宋体" w:eastAsia="宋体" w:cs="Times New Roman"/>
                <w:color w:val="000000"/>
                <w:sz w:val="17"/>
                <w:szCs w:val="17"/>
              </w:rPr>
              <w:t>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78" w:leftChars="-85" w:right="-115" w:firstLine="86" w:firstLineChars="51"/>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1.1-2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78" w:leftChars="-85" w:right="-115" w:firstLine="86" w:firstLineChars="51"/>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1.2</w:t>
            </w:r>
          </w:p>
        </w:tc>
        <w:tc>
          <w:tcPr>
            <w:tcW w:w="4020" w:type="dxa"/>
            <w:vMerge w:val="restart"/>
            <w:noWrap w:val="0"/>
            <w:vAlign w:val="center"/>
          </w:tcPr>
          <w:p>
            <w:pPr>
              <w:spacing w:line="220" w:lineRule="exact"/>
              <w:ind w:left="-105" w:leftChars="-50" w:right="6" w:firstLine="85" w:firstLineChars="50"/>
              <w:rPr>
                <w:rFonts w:ascii="宋体" w:hAnsi="宋体" w:eastAsia="宋体" w:cs="Times New Roman"/>
                <w:color w:val="000000"/>
                <w:sz w:val="17"/>
                <w:szCs w:val="17"/>
              </w:rPr>
            </w:pPr>
            <w:r>
              <w:rPr>
                <w:rFonts w:hint="eastAsia" w:ascii="宋体" w:hAnsi="宋体" w:eastAsia="宋体" w:cs="Times New Roman"/>
                <w:color w:val="000000"/>
                <w:sz w:val="17"/>
                <w:szCs w:val="17"/>
              </w:rPr>
              <w:t>设立社区学生团组织（包括实体型和功能型学生团组织），按照《中国共产主义青年团普通高等学校基层组织工作条例》要求，选拔符合条件的青年党员、优秀团员担任负责人，健全制度体系和工作机制，强化团组织功能。</w:t>
            </w: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p>
        </w:tc>
        <w:tc>
          <w:tcPr>
            <w:tcW w:w="4020" w:type="dxa"/>
            <w:vMerge w:val="restart"/>
            <w:noWrap w:val="0"/>
            <w:vAlign w:val="center"/>
          </w:tcPr>
          <w:p>
            <w:pPr>
              <w:spacing w:line="220" w:lineRule="exact"/>
              <w:ind w:right="6"/>
              <w:rPr>
                <w:rFonts w:ascii="宋体" w:hAnsi="宋体" w:eastAsia="宋体" w:cs="Times New Roman"/>
                <w:color w:val="000000"/>
                <w:sz w:val="17"/>
                <w:szCs w:val="17"/>
              </w:rPr>
            </w:pPr>
            <w:r>
              <w:rPr>
                <w:rFonts w:hint="eastAsia" w:ascii="宋体" w:hAnsi="宋体" w:eastAsia="宋体" w:cs="Times New Roman"/>
                <w:color w:val="000000"/>
                <w:sz w:val="17"/>
                <w:szCs w:val="17"/>
              </w:rPr>
              <w:t>建立社区学生自我管理服务组织或学生会服务站（点）等，在社区党（团）组织指导下，引导学生自觉参与社区治理建设</w:t>
            </w: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1.3-1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restart"/>
            <w:noWrap w:val="0"/>
            <w:vAlign w:val="center"/>
          </w:tcPr>
          <w:p>
            <w:pPr>
              <w:pStyle w:val="2"/>
              <w:rPr>
                <w:rFonts w:hint="eastAsia"/>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1.3-2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50" w:hRule="atLeast"/>
          <w:jc w:val="center"/>
        </w:trPr>
        <w:tc>
          <w:tcPr>
            <w:tcW w:w="826" w:type="dxa"/>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1.4</w:t>
            </w:r>
          </w:p>
        </w:tc>
        <w:tc>
          <w:tcPr>
            <w:tcW w:w="4020" w:type="dxa"/>
            <w:noWrap w:val="0"/>
            <w:vAlign w:val="center"/>
          </w:tcPr>
          <w:p>
            <w:pPr>
              <w:spacing w:line="220" w:lineRule="exact"/>
              <w:ind w:left="-105" w:leftChars="-50" w:right="6" w:firstLine="85" w:firstLineChars="50"/>
              <w:rPr>
                <w:rFonts w:ascii="宋体" w:hAnsi="宋体" w:eastAsia="宋体" w:cs="Times New Roman"/>
                <w:color w:val="000000"/>
                <w:sz w:val="17"/>
                <w:szCs w:val="17"/>
              </w:rPr>
            </w:pPr>
            <w:r>
              <w:rPr>
                <w:rFonts w:hint="eastAsia" w:ascii="宋体" w:hAnsi="宋体" w:eastAsia="宋体" w:cs="Times New Roman"/>
                <w:color w:val="000000"/>
                <w:sz w:val="17"/>
                <w:szCs w:val="17"/>
              </w:rPr>
              <w:t>鼓励在学生社区建设学生社团，引导各类学生社团服务社区。在社区党（团）组织指导下，按照《高校学生社团建设管理办法》要求，坚持思想性、价值性、知识性、趣味性、多样性相统一的原则，服务学生成长发展。</w:t>
            </w: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hint="eastAsia" w:ascii="宋体" w:hAnsi="宋体" w:eastAsia="宋体" w:cs="Times New Roman"/>
                <w:color w:val="000000"/>
                <w:sz w:val="17"/>
                <w:szCs w:val="17"/>
              </w:rPr>
            </w:pPr>
            <w:r>
              <w:rPr>
                <w:rFonts w:hint="eastAsia" w:ascii="黑体" w:hAnsi="黑体" w:eastAsia="黑体" w:cs="Times New Roman"/>
                <w:color w:val="000000"/>
                <w:sz w:val="18"/>
                <w:szCs w:val="18"/>
              </w:rPr>
              <w:t>2.丰富社区学生活动体系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完善德育活动体系，以学生身心发展特点和规律为基础，重点开展思想道德、政治引领、价值观念、自我意识、人际关系、社会适应等方面的活动，引导学生养成良好思想道德、心理素质和行为习惯。</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w:t>
            </w:r>
          </w:p>
        </w:tc>
        <w:tc>
          <w:tcPr>
            <w:tcW w:w="4020" w:type="dxa"/>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丰富智育活动内容，开展创新创业、学科前沿、专业基础等相关的学术讲座、竞赛、实践等活动，建设书香社区，引导学生树立良好学风</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2.6-3</w:t>
            </w:r>
          </w:p>
        </w:tc>
        <w:tc>
          <w:tcPr>
            <w:tcW w:w="3182" w:type="dxa"/>
            <w:gridSpan w:val="2"/>
            <w:noWrap w:val="0"/>
            <w:vAlign w:val="center"/>
          </w:tcPr>
          <w:p>
            <w:pPr>
              <w:spacing w:line="220" w:lineRule="exact"/>
              <w:ind w:right="6"/>
              <w:rPr>
                <w:rFonts w:hint="default" w:ascii="宋体" w:hAnsi="宋体" w:eastAsia="宋体" w:cs="Times New Roman"/>
                <w:color w:val="000000"/>
                <w:sz w:val="17"/>
                <w:szCs w:val="17"/>
                <w:lang w:val="en-US"/>
              </w:rPr>
            </w:pPr>
          </w:p>
        </w:tc>
        <w:tc>
          <w:tcPr>
            <w:tcW w:w="1063" w:type="dxa"/>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right="6"/>
              <w:jc w:val="both"/>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w:t>
            </w:r>
          </w:p>
        </w:tc>
        <w:tc>
          <w:tcPr>
            <w:tcW w:w="4020" w:type="dxa"/>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健全体育活动体系，围绕国家学生体质健康标准要求，开展系列体育活动，强化日常参与、体质监测和专项运动相结合，引导学生养成良好锻炼习惯和健康生活方式</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826" w:type="dxa"/>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2.8</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构筑美育活动体系，以学生感受美、表现美、鉴赏美、创造美的能力提升为目标，开展美育素养提升、艺术实践活动普及、美育文化营造等主题活动，促进学生形成艺术爱好、增强艺术素养。</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2.8-1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10" w:hRule="atLeast"/>
          <w:jc w:val="center"/>
        </w:trPr>
        <w:tc>
          <w:tcPr>
            <w:tcW w:w="826" w:type="dxa"/>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强化劳动教育活动体系，以学生养成劳动习惯、学会劳动、学会勤俭为目标，注重劳动教育学习和劳动实践相结合，引导学生崇尚劳动、尊重劳动。</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ascii="黑体" w:hAnsi="黑体" w:eastAsia="黑体" w:cs="Times New Roman"/>
                <w:color w:val="000000"/>
                <w:sz w:val="17"/>
                <w:szCs w:val="17"/>
              </w:rPr>
            </w:pPr>
            <w:r>
              <w:rPr>
                <w:rFonts w:hint="eastAsia" w:ascii="黑体" w:hAnsi="黑体" w:eastAsia="黑体" w:cs="Times New Roman"/>
                <w:color w:val="000000"/>
                <w:sz w:val="18"/>
                <w:szCs w:val="18"/>
              </w:rPr>
              <w:t>3.健全社区学生评价模式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w:t>
            </w:r>
          </w:p>
        </w:tc>
        <w:tc>
          <w:tcPr>
            <w:tcW w:w="4020" w:type="dxa"/>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完善学生综合评价体系，围绕德智体美劳全面培养的社区育人要求，以学生自我发展目标为牵引，建立健全过程性评价办法。</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3.11</w:t>
            </w:r>
          </w:p>
        </w:tc>
        <w:tc>
          <w:tcPr>
            <w:tcW w:w="4020" w:type="dxa"/>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积极挖掘、培养和选树参与社区治理、朋辈教育的学生典型，强化典型宣传，发挥榜样示范引领和辐射作用。</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3.11-1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default" w:ascii="宋体" w:hAnsi="宋体" w:eastAsia="宋体" w:cs="Times New Roman"/>
                <w:color w:val="000000"/>
                <w:sz w:val="17"/>
                <w:szCs w:val="17"/>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3.11-2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3.11-3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C2D69B"/>
            <w:noWrap w:val="0"/>
            <w:vAlign w:val="center"/>
          </w:tcPr>
          <w:p>
            <w:pPr>
              <w:spacing w:line="220" w:lineRule="exact"/>
              <w:ind w:left="-105" w:leftChars="-50" w:right="6" w:firstLine="180" w:firstLineChars="100"/>
              <w:rPr>
                <w:rFonts w:ascii="宋体" w:hAnsi="宋体" w:eastAsia="宋体" w:cs="Times New Roman"/>
                <w:color w:val="C2D69B"/>
                <w:sz w:val="17"/>
                <w:szCs w:val="17"/>
                <w:highlight w:val="darkGray"/>
              </w:rPr>
            </w:pPr>
            <w:r>
              <w:rPr>
                <w:rFonts w:hint="eastAsia" w:ascii="黑体" w:hAnsi="黑体" w:eastAsia="黑体" w:cs="Times New Roman"/>
                <w:color w:val="auto"/>
                <w:sz w:val="18"/>
                <w:szCs w:val="18"/>
                <w:highlight w:val="none"/>
              </w:rPr>
              <w:t>4.</w:t>
            </w:r>
            <w:r>
              <w:rPr>
                <w:rFonts w:hint="eastAsia" w:ascii="黑体" w:hAnsi="黑体" w:eastAsia="黑体" w:cs="Times New Roman"/>
                <w:color w:val="auto"/>
                <w:sz w:val="18"/>
                <w:szCs w:val="18"/>
              </w:rPr>
              <w:t>社区</w:t>
            </w:r>
            <w:r>
              <w:rPr>
                <w:rFonts w:hint="eastAsia" w:ascii="黑体" w:hAnsi="黑体" w:eastAsia="黑体" w:cs="Times New Roman"/>
                <w:color w:val="auto"/>
                <w:sz w:val="18"/>
                <w:szCs w:val="18"/>
                <w:highlight w:val="none"/>
              </w:rPr>
              <w:t>学生“四自”体系有效完善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w:t>
            </w:r>
          </w:p>
        </w:tc>
        <w:tc>
          <w:tcPr>
            <w:tcW w:w="4020" w:type="dxa"/>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健全学生参与“自我管理、自我服务、自我教育、自我监督”的工作体系，建立学生深度参与社区治理的长效机制，充分激发学生的主观能动性。</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4.12-1</w:t>
            </w:r>
          </w:p>
        </w:tc>
        <w:tc>
          <w:tcPr>
            <w:tcW w:w="3182" w:type="dxa"/>
            <w:gridSpan w:val="2"/>
            <w:noWrap w:val="0"/>
            <w:vAlign w:val="center"/>
          </w:tcPr>
          <w:p>
            <w:pPr>
              <w:spacing w:line="220" w:lineRule="exact"/>
              <w:ind w:right="6"/>
              <w:rPr>
                <w:rFonts w:hint="default"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4.12-3</w:t>
            </w:r>
          </w:p>
        </w:tc>
        <w:tc>
          <w:tcPr>
            <w:tcW w:w="3182" w:type="dxa"/>
            <w:gridSpan w:val="2"/>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4.12-4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FABF8F"/>
            <w:noWrap w:val="0"/>
            <w:vAlign w:val="center"/>
          </w:tcPr>
          <w:p>
            <w:pPr>
              <w:spacing w:line="220" w:lineRule="exact"/>
              <w:ind w:left="-105" w:leftChars="-50" w:right="6"/>
              <w:rPr>
                <w:rFonts w:hint="eastAsia" w:ascii="黑体" w:hAnsi="黑体" w:eastAsia="黑体" w:cs="Times New Roman"/>
                <w:color w:val="000000"/>
                <w:sz w:val="17"/>
                <w:szCs w:val="17"/>
                <w:lang w:val="en-US" w:eastAsia="zh-CN"/>
              </w:rPr>
            </w:pPr>
            <w:r>
              <w:rPr>
                <w:rFonts w:hint="eastAsia" w:ascii="黑体" w:hAnsi="黑体" w:eastAsia="黑体" w:cs="Times New Roman"/>
                <w:color w:val="000000"/>
                <w:sz w:val="21"/>
                <w:szCs w:val="21"/>
              </w:rPr>
              <w:t xml:space="preserve">  </w:t>
            </w:r>
            <w:r>
              <w:rPr>
                <w:rFonts w:hint="eastAsia" w:ascii="黑体" w:hAnsi="黑体" w:eastAsia="黑体" w:cs="Times New Roman"/>
                <w:color w:val="000000"/>
                <w:sz w:val="21"/>
                <w:szCs w:val="21"/>
                <w:lang w:val="en-US" w:eastAsia="zh-CN"/>
              </w:rPr>
              <w:t>D</w:t>
            </w:r>
            <w:r>
              <w:rPr>
                <w:rFonts w:hint="eastAsia" w:ascii="黑体" w:hAnsi="黑体" w:eastAsia="黑体" w:cs="Times New Roman"/>
                <w:color w:val="000000"/>
                <w:sz w:val="21"/>
                <w:szCs w:val="21"/>
              </w:rPr>
              <w:t>.</w:t>
            </w:r>
            <w:r>
              <w:rPr>
                <w:rFonts w:hint="eastAsia" w:ascii="黑体" w:hAnsi="黑体" w:eastAsia="黑体" w:cs="Times New Roman"/>
                <w:color w:val="000000"/>
                <w:sz w:val="21"/>
                <w:szCs w:val="21"/>
                <w:lang w:eastAsia="zh-CN"/>
              </w:rPr>
              <w:t>文化建设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hint="eastAsia" w:ascii="黑体" w:hAnsi="黑体" w:eastAsia="黑体" w:cs="Times New Roman"/>
                <w:color w:val="000000"/>
                <w:sz w:val="17"/>
                <w:szCs w:val="17"/>
                <w:lang w:eastAsia="zh-CN"/>
              </w:rPr>
            </w:pPr>
            <w:r>
              <w:rPr>
                <w:rFonts w:hint="eastAsia" w:ascii="黑体" w:hAnsi="黑体" w:eastAsia="黑体" w:cs="Times New Roman"/>
                <w:color w:val="000000"/>
                <w:sz w:val="18"/>
                <w:szCs w:val="18"/>
              </w:rPr>
              <w:t>1.</w:t>
            </w:r>
            <w:r>
              <w:rPr>
                <w:rFonts w:hint="eastAsia" w:ascii="黑体" w:hAnsi="黑体" w:eastAsia="黑体" w:cs="Times New Roman"/>
                <w:color w:val="000000"/>
                <w:sz w:val="18"/>
                <w:szCs w:val="18"/>
                <w:lang w:eastAsia="zh-CN"/>
              </w:rPr>
              <w:t>丰富空间文化内涵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1.1</w:t>
            </w:r>
          </w:p>
        </w:tc>
        <w:tc>
          <w:tcPr>
            <w:tcW w:w="4020" w:type="dxa"/>
            <w:vMerge w:val="restart"/>
            <w:noWrap w:val="0"/>
            <w:vAlign w:val="center"/>
          </w:tcPr>
          <w:p>
            <w:pPr>
              <w:spacing w:line="220" w:lineRule="exact"/>
              <w:ind w:left="-20" w:leftChars="-50" w:right="6" w:hanging="85" w:hangingChars="50"/>
              <w:rPr>
                <w:rFonts w:ascii="宋体" w:hAnsi="宋体" w:eastAsia="宋体" w:cs="Times New Roman"/>
                <w:color w:val="000000"/>
                <w:sz w:val="17"/>
                <w:szCs w:val="17"/>
              </w:rPr>
            </w:pPr>
            <w:r>
              <w:rPr>
                <w:rFonts w:ascii="宋体" w:hAnsi="宋体" w:eastAsia="宋体" w:cs="Times New Roman"/>
                <w:color w:val="000000"/>
                <w:sz w:val="17"/>
                <w:szCs w:val="17"/>
              </w:rPr>
              <w:t xml:space="preserve"> </w:t>
            </w:r>
            <w:r>
              <w:rPr>
                <w:rFonts w:hint="eastAsia" w:ascii="宋体" w:hAnsi="宋体" w:eastAsia="宋体" w:cs="Times New Roman"/>
                <w:color w:val="000000"/>
                <w:sz w:val="17"/>
                <w:szCs w:val="17"/>
              </w:rPr>
              <w:t>深度开发</w:t>
            </w:r>
            <w:r>
              <w:rPr>
                <w:rFonts w:hint="eastAsia" w:ascii="宋体" w:hAnsi="宋体" w:eastAsia="宋体" w:cs="Times New Roman"/>
                <w:color w:val="000000"/>
                <w:sz w:val="17"/>
                <w:szCs w:val="17"/>
                <w:lang w:val="en-US" w:eastAsia="zh-CN"/>
              </w:rPr>
              <w:t>并有效</w:t>
            </w:r>
            <w:r>
              <w:rPr>
                <w:rFonts w:hint="eastAsia" w:ascii="宋体" w:hAnsi="宋体" w:eastAsia="宋体" w:cs="Times New Roman"/>
                <w:color w:val="000000"/>
                <w:sz w:val="17"/>
                <w:szCs w:val="17"/>
              </w:rPr>
              <w:t>利用学校特色场馆、建筑等，统筹布局寝室、公寓、社区、校园等场域，</w:t>
            </w:r>
            <w:r>
              <w:rPr>
                <w:rFonts w:hint="eastAsia" w:ascii="宋体" w:hAnsi="宋体" w:eastAsia="宋体" w:cs="Times New Roman"/>
                <w:color w:val="000000"/>
                <w:sz w:val="17"/>
                <w:szCs w:val="17"/>
                <w:lang w:val="en-US" w:eastAsia="zh-CN"/>
              </w:rPr>
              <w:t>建设</w:t>
            </w:r>
            <w:r>
              <w:rPr>
                <w:rFonts w:hint="eastAsia" w:ascii="宋体" w:hAnsi="宋体" w:eastAsia="宋体" w:cs="Times New Roman"/>
                <w:color w:val="000000"/>
                <w:sz w:val="17"/>
                <w:szCs w:val="17"/>
              </w:rPr>
              <w:t>形成承载文化浸润、精神传承作用的多元、多功能空间载体。</w:t>
            </w: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w:t>
            </w:r>
            <w:r>
              <w:rPr>
                <w:rFonts w:ascii="宋体" w:hAnsi="宋体" w:eastAsia="宋体" w:cs="Times New Roman"/>
                <w:color w:val="000000"/>
                <w:sz w:val="17"/>
                <w:szCs w:val="17"/>
              </w:rPr>
              <w:t>1</w:t>
            </w:r>
          </w:p>
        </w:tc>
        <w:tc>
          <w:tcPr>
            <w:tcW w:w="3182" w:type="dxa"/>
            <w:gridSpan w:val="2"/>
            <w:noWrap w:val="0"/>
            <w:vAlign w:val="center"/>
          </w:tcPr>
          <w:p>
            <w:pPr>
              <w:spacing w:line="220" w:lineRule="exact"/>
              <w:ind w:left="-105" w:leftChars="-50" w:right="6" w:rightChars="0" w:firstLine="85" w:firstLineChars="50"/>
              <w:rPr>
                <w:rFonts w:hint="eastAsia" w:ascii="宋体" w:hAnsi="宋体" w:eastAsia="宋体" w:cs="Times New Roman"/>
                <w:color w:val="000000"/>
                <w:sz w:val="17"/>
                <w:szCs w:val="17"/>
              </w:rPr>
            </w:pPr>
          </w:p>
        </w:tc>
        <w:tc>
          <w:tcPr>
            <w:tcW w:w="1063" w:type="dxa"/>
            <w:vMerge w:val="restart"/>
            <w:noWrap w:val="0"/>
            <w:vAlign w:val="center"/>
          </w:tcPr>
          <w:p>
            <w:pPr>
              <w:pStyle w:val="2"/>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-2</w:t>
            </w:r>
          </w:p>
        </w:tc>
        <w:tc>
          <w:tcPr>
            <w:tcW w:w="3182" w:type="dxa"/>
            <w:gridSpan w:val="2"/>
            <w:noWrap w:val="0"/>
            <w:vAlign w:val="center"/>
          </w:tcPr>
          <w:p>
            <w:pPr>
              <w:spacing w:line="220" w:lineRule="exact"/>
              <w:ind w:left="-105" w:leftChars="-50" w:right="6" w:rightChars="0"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w:t>
            </w:r>
            <w:r>
              <w:rPr>
                <w:rFonts w:hint="eastAsia"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3</w:t>
            </w:r>
          </w:p>
        </w:tc>
        <w:tc>
          <w:tcPr>
            <w:tcW w:w="3182" w:type="dxa"/>
            <w:gridSpan w:val="2"/>
            <w:noWrap w:val="0"/>
            <w:vAlign w:val="center"/>
          </w:tcPr>
          <w:p>
            <w:pPr>
              <w:spacing w:line="220" w:lineRule="exact"/>
              <w:ind w:left="-105" w:leftChars="-50" w:right="6" w:rightChars="0" w:firstLine="85" w:firstLineChars="50"/>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w:t>
            </w:r>
            <w:r>
              <w:rPr>
                <w:rFonts w:hint="eastAsia"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4</w:t>
            </w:r>
          </w:p>
        </w:tc>
        <w:tc>
          <w:tcPr>
            <w:tcW w:w="3182" w:type="dxa"/>
            <w:gridSpan w:val="2"/>
            <w:noWrap w:val="0"/>
            <w:vAlign w:val="center"/>
          </w:tcPr>
          <w:p>
            <w:pPr>
              <w:spacing w:line="220" w:lineRule="exact"/>
              <w:ind w:left="-105" w:leftChars="-50" w:right="6" w:rightChars="0"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r>
              <w:rPr>
                <w:rFonts w:hint="eastAsia" w:ascii="黑体" w:hAnsi="黑体" w:eastAsia="黑体" w:cs="Times New Roman"/>
                <w:color w:val="000000"/>
                <w:sz w:val="17"/>
                <w:szCs w:val="17"/>
                <w:lang w:val="en-US" w:eastAsia="zh-CN"/>
              </w:rPr>
              <w:t xml:space="preserve"> </w:t>
            </w:r>
            <w:r>
              <w:rPr>
                <w:rFonts w:hint="eastAsia"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5</w:t>
            </w:r>
          </w:p>
        </w:tc>
        <w:tc>
          <w:tcPr>
            <w:tcW w:w="3182" w:type="dxa"/>
            <w:gridSpan w:val="2"/>
            <w:noWrap w:val="0"/>
            <w:vAlign w:val="center"/>
          </w:tcPr>
          <w:p>
            <w:pPr>
              <w:spacing w:line="220" w:lineRule="exact"/>
              <w:ind w:right="6" w:rightChars="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w:t>
            </w:r>
            <w:r>
              <w:rPr>
                <w:rFonts w:hint="eastAsia"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6</w:t>
            </w:r>
          </w:p>
        </w:tc>
        <w:tc>
          <w:tcPr>
            <w:tcW w:w="3182" w:type="dxa"/>
            <w:gridSpan w:val="2"/>
            <w:noWrap w:val="0"/>
            <w:vAlign w:val="center"/>
          </w:tcPr>
          <w:p>
            <w:pPr>
              <w:spacing w:line="220" w:lineRule="exact"/>
              <w:ind w:left="-105" w:leftChars="-50" w:right="6" w:rightChars="0"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w:t>
            </w:r>
            <w:r>
              <w:rPr>
                <w:rFonts w:hint="eastAsia"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7</w:t>
            </w:r>
          </w:p>
        </w:tc>
        <w:tc>
          <w:tcPr>
            <w:tcW w:w="3182" w:type="dxa"/>
            <w:gridSpan w:val="2"/>
            <w:noWrap w:val="0"/>
            <w:vAlign w:val="center"/>
          </w:tcPr>
          <w:p>
            <w:pPr>
              <w:spacing w:line="220" w:lineRule="exact"/>
              <w:ind w:left="-105" w:leftChars="-50" w:right="6" w:rightChars="0"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w:t>
            </w:r>
            <w:r>
              <w:rPr>
                <w:rFonts w:hint="eastAsia"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8</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w:t>
            </w:r>
            <w:r>
              <w:rPr>
                <w:rFonts w:hint="eastAsia" w:ascii="宋体" w:hAnsi="宋体" w:eastAsia="宋体" w:cs="Times New Roman"/>
                <w:color w:val="000000"/>
                <w:sz w:val="17"/>
                <w:szCs w:val="17"/>
              </w:rPr>
              <w:t>1.1-</w:t>
            </w:r>
            <w:r>
              <w:rPr>
                <w:rFonts w:hint="eastAsia" w:ascii="宋体" w:hAnsi="宋体" w:eastAsia="宋体" w:cs="Times New Roman"/>
                <w:color w:val="000000"/>
                <w:sz w:val="17"/>
                <w:szCs w:val="17"/>
                <w:lang w:val="en-US" w:eastAsia="zh-CN"/>
              </w:rPr>
              <w:t>9</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1.2</w:t>
            </w:r>
          </w:p>
        </w:tc>
        <w:tc>
          <w:tcPr>
            <w:tcW w:w="4020" w:type="dxa"/>
            <w:vMerge w:val="restart"/>
            <w:noWrap w:val="0"/>
            <w:vAlign w:val="center"/>
          </w:tcPr>
          <w:p>
            <w:pPr>
              <w:spacing w:line="220" w:lineRule="exact"/>
              <w:ind w:left="-105" w:leftChars="-50" w:right="6" w:firstLine="85" w:firstLineChars="50"/>
              <w:rPr>
                <w:rFonts w:ascii="宋体" w:hAnsi="宋体" w:eastAsia="宋体" w:cs="Times New Roman"/>
                <w:color w:val="000000"/>
                <w:sz w:val="17"/>
                <w:szCs w:val="17"/>
              </w:rPr>
            </w:pPr>
            <w:r>
              <w:rPr>
                <w:rFonts w:hint="eastAsia" w:ascii="宋体" w:hAnsi="宋体" w:eastAsia="宋体" w:cs="Times New Roman"/>
                <w:color w:val="000000"/>
                <w:sz w:val="17"/>
                <w:szCs w:val="17"/>
              </w:rPr>
              <w:t>注重社区网络</w:t>
            </w:r>
            <w:r>
              <w:rPr>
                <w:rFonts w:hint="eastAsia" w:ascii="宋体" w:hAnsi="宋体" w:eastAsia="宋体" w:cs="Times New Roman"/>
                <w:color w:val="000000"/>
                <w:sz w:val="17"/>
                <w:szCs w:val="17"/>
                <w:lang w:val="en-US" w:eastAsia="zh-CN"/>
              </w:rPr>
              <w:t>文化</w:t>
            </w:r>
            <w:r>
              <w:rPr>
                <w:rFonts w:hint="eastAsia" w:ascii="宋体" w:hAnsi="宋体" w:eastAsia="宋体" w:cs="Times New Roman"/>
                <w:color w:val="000000"/>
                <w:sz w:val="17"/>
                <w:szCs w:val="17"/>
              </w:rPr>
              <w:t>空间建设，把握社区网络文化建设主动权，筑牢社区文化网络新阵地。</w:t>
            </w: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2-2</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 xml:space="preserve"> </w:t>
            </w:r>
            <w:r>
              <w:rPr>
                <w:rFonts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2-3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9"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p>
        </w:tc>
        <w:tc>
          <w:tcPr>
            <w:tcW w:w="4020" w:type="dxa"/>
            <w:vMerge w:val="restart"/>
            <w:noWrap w:val="0"/>
            <w:vAlign w:val="center"/>
          </w:tcPr>
          <w:p>
            <w:pPr>
              <w:spacing w:line="220" w:lineRule="exact"/>
              <w:ind w:right="6"/>
              <w:jc w:val="both"/>
              <w:rPr>
                <w:rFonts w:hint="eastAsia" w:ascii="宋体" w:hAnsi="宋体" w:eastAsia="宋体" w:cs="Times New Roman"/>
                <w:color w:val="000000"/>
                <w:sz w:val="17"/>
                <w:szCs w:val="17"/>
              </w:rPr>
            </w:pPr>
          </w:p>
          <w:p>
            <w:pPr>
              <w:spacing w:line="220" w:lineRule="exact"/>
              <w:ind w:right="6"/>
              <w:jc w:val="both"/>
              <w:rPr>
                <w:rFonts w:hint="eastAsia" w:ascii="宋体" w:hAnsi="宋体" w:eastAsia="宋体" w:cs="Times New Roman"/>
                <w:color w:val="000000"/>
                <w:sz w:val="17"/>
                <w:szCs w:val="17"/>
              </w:rPr>
            </w:pPr>
          </w:p>
          <w:p>
            <w:pPr>
              <w:spacing w:line="220" w:lineRule="exact"/>
              <w:ind w:right="6"/>
              <w:jc w:val="both"/>
              <w:rPr>
                <w:rFonts w:hint="eastAsia" w:ascii="宋体" w:hAnsi="宋体" w:eastAsia="宋体" w:cs="Times New Roman"/>
                <w:color w:val="000000"/>
                <w:sz w:val="17"/>
                <w:szCs w:val="17"/>
              </w:rPr>
            </w:pPr>
          </w:p>
          <w:p>
            <w:pPr>
              <w:spacing w:line="220" w:lineRule="exact"/>
              <w:ind w:right="6"/>
              <w:jc w:val="both"/>
              <w:rPr>
                <w:rFonts w:hint="eastAsia" w:ascii="宋体" w:hAnsi="宋体" w:eastAsia="宋体" w:cs="Times New Roman"/>
                <w:color w:val="000000"/>
                <w:sz w:val="17"/>
                <w:szCs w:val="17"/>
              </w:rPr>
            </w:pPr>
          </w:p>
          <w:p>
            <w:pPr>
              <w:spacing w:line="220" w:lineRule="exact"/>
              <w:ind w:right="6"/>
              <w:jc w:val="both"/>
              <w:rPr>
                <w:rFonts w:hint="eastAsia" w:ascii="宋体" w:hAnsi="宋体" w:eastAsia="宋体" w:cs="Times New Roman"/>
                <w:color w:val="000000"/>
                <w:sz w:val="17"/>
                <w:szCs w:val="17"/>
              </w:rPr>
            </w:pPr>
          </w:p>
          <w:p>
            <w:pPr>
              <w:spacing w:line="220" w:lineRule="exact"/>
              <w:ind w:right="6"/>
              <w:jc w:val="both"/>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推动</w:t>
            </w:r>
            <w:r>
              <w:rPr>
                <w:rFonts w:hint="eastAsia" w:ascii="宋体" w:hAnsi="宋体" w:eastAsia="宋体" w:cs="Times New Roman"/>
                <w:color w:val="000000"/>
                <w:sz w:val="17"/>
                <w:szCs w:val="17"/>
                <w:lang w:val="en-US" w:eastAsia="zh-CN"/>
              </w:rPr>
              <w:t>学习贯彻</w:t>
            </w:r>
            <w:r>
              <w:rPr>
                <w:rFonts w:hint="eastAsia" w:ascii="宋体" w:hAnsi="宋体" w:eastAsia="宋体" w:cs="Times New Roman"/>
                <w:color w:val="000000"/>
                <w:sz w:val="17"/>
                <w:szCs w:val="17"/>
              </w:rPr>
              <w:t>习近平新时代中国特色社会主义思想深度融入社区文化空间，引导学生</w:t>
            </w:r>
            <w:r>
              <w:rPr>
                <w:rFonts w:hint="eastAsia" w:ascii="宋体" w:hAnsi="宋体" w:eastAsia="宋体" w:cs="Times New Roman"/>
                <w:color w:val="000000"/>
                <w:sz w:val="17"/>
                <w:szCs w:val="17"/>
                <w:lang w:val="en-US" w:eastAsia="zh-CN"/>
              </w:rPr>
              <w:t>深刻理解党的创新理论</w:t>
            </w:r>
            <w:r>
              <w:rPr>
                <w:rFonts w:hint="eastAsia" w:ascii="宋体" w:hAnsi="宋体" w:eastAsia="宋体" w:cs="Times New Roman"/>
                <w:color w:val="000000"/>
                <w:sz w:val="17"/>
                <w:szCs w:val="17"/>
              </w:rPr>
              <w:t>的文化价值。</w:t>
            </w:r>
          </w:p>
          <w:p>
            <w:pPr>
              <w:pStyle w:val="2"/>
              <w:jc w:val="both"/>
              <w:rPr>
                <w:rFonts w:hint="eastAsia" w:ascii="宋体" w:hAnsi="宋体" w:eastAsia="宋体" w:cs="Times New Roman"/>
                <w:color w:val="000000"/>
                <w:sz w:val="17"/>
                <w:szCs w:val="17"/>
              </w:rPr>
            </w:pPr>
          </w:p>
          <w:p>
            <w:pPr>
              <w:pStyle w:val="2"/>
              <w:jc w:val="both"/>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1.3-1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9"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1.3-2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1.3-3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9"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1.3-4</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1.3-5</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1.4</w:t>
            </w:r>
          </w:p>
        </w:tc>
        <w:tc>
          <w:tcPr>
            <w:tcW w:w="4020" w:type="dxa"/>
            <w:vMerge w:val="restart"/>
            <w:noWrap w:val="0"/>
            <w:vAlign w:val="center"/>
          </w:tcPr>
          <w:p>
            <w:pPr>
              <w:spacing w:line="220" w:lineRule="exact"/>
              <w:ind w:right="6"/>
              <w:rPr>
                <w:rFonts w:ascii="宋体" w:hAnsi="宋体" w:eastAsia="宋体" w:cs="Times New Roman"/>
                <w:color w:val="000000"/>
                <w:sz w:val="17"/>
                <w:szCs w:val="17"/>
              </w:rPr>
            </w:pPr>
            <w:r>
              <w:rPr>
                <w:rFonts w:hint="eastAsia" w:ascii="宋体" w:hAnsi="宋体" w:eastAsia="宋体" w:cs="Times New Roman"/>
                <w:color w:val="000000"/>
                <w:sz w:val="17"/>
                <w:szCs w:val="17"/>
              </w:rPr>
              <w:t>推动主流文化、中华优秀传统文化、学科特色文化、创新创业文化等有机融入社区文化空间，形成特色鲜明的宿舍文化、楼宇文化、社区文化。</w:t>
            </w: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1.4-5</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1.4-6</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 xml:space="preserve"> 1.4-7</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 xml:space="preserve"> 1.4-8</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64"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hint="eastAsia" w:ascii="宋体" w:hAnsi="宋体" w:eastAsia="宋体" w:cs="Times New Roman"/>
                <w:color w:val="000000"/>
                <w:sz w:val="17"/>
                <w:szCs w:val="17"/>
              </w:rPr>
            </w:pPr>
            <w:r>
              <w:rPr>
                <w:rFonts w:hint="eastAsia" w:ascii="黑体" w:hAnsi="黑体" w:eastAsia="黑体" w:cs="Times New Roman"/>
                <w:color w:val="000000"/>
                <w:sz w:val="18"/>
                <w:szCs w:val="18"/>
              </w:rPr>
              <w:t>2.举办多样文化活动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2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w:t>
            </w:r>
          </w:p>
        </w:tc>
        <w:tc>
          <w:tcPr>
            <w:tcW w:w="40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jc w:val="both"/>
              <w:textAlignment w:val="auto"/>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社区一线单位广泛调动全校文化资源，综合运用各类文化阵地，统筹开展内容丰富、形式多样、覆盖广泛、便于参与的文化文艺活动。</w:t>
            </w:r>
          </w:p>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jc w:val="both"/>
              <w:textAlignment w:val="auto"/>
              <w:rPr>
                <w:rFonts w:hint="eastAsia" w:ascii="宋体" w:hAnsi="宋体" w:eastAsia="宋体" w:cs="Times New Roman"/>
                <w:color w:val="000000"/>
                <w:sz w:val="17"/>
                <w:szCs w:val="17"/>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jc w:val="both"/>
              <w:textAlignment w:val="auto"/>
              <w:rPr>
                <w:rFonts w:hint="eastAsia" w:ascii="宋体" w:hAnsi="宋体" w:eastAsia="宋体" w:cs="Times New Roman"/>
                <w:color w:val="000000"/>
                <w:sz w:val="17"/>
                <w:szCs w:val="17"/>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jc w:val="both"/>
              <w:textAlignment w:val="auto"/>
              <w:rPr>
                <w:rFonts w:hint="eastAsia" w:ascii="宋体" w:hAnsi="宋体" w:eastAsia="宋体" w:cs="Times New Roman"/>
                <w:color w:val="000000"/>
                <w:sz w:val="17"/>
                <w:szCs w:val="17"/>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ind w:right="6" w:firstLine="0" w:firstLineChars="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2.5-1</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default" w:ascii="宋体" w:hAnsi="宋体" w:eastAsia="宋体" w:cs="Times New Roman"/>
                <w:color w:val="000000"/>
                <w:sz w:val="17"/>
                <w:szCs w:val="17"/>
                <w:lang w:val="en-US" w:eastAsia="zh-CN"/>
              </w:rPr>
            </w:pPr>
          </w:p>
        </w:tc>
        <w:tc>
          <w:tcPr>
            <w:tcW w:w="106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2.5-2</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0"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2.5-3</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jc w:val="left"/>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2.5-4</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0"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2.5-5</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5"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2.5-6</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0"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2.5-7</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0"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2.5-8</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0"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2.5-9</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2.5-10</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60" w:hRule="atLeast"/>
          <w:jc w:val="center"/>
        </w:trPr>
        <w:tc>
          <w:tcPr>
            <w:tcW w:w="8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105" w:leftChars="-50" w:right="6" w:firstLine="85" w:firstLineChars="50"/>
              <w:jc w:val="center"/>
              <w:textAlignment w:val="auto"/>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160" w:lineRule="exact"/>
              <w:ind w:left="-20" w:leftChars="-50" w:right="6" w:hanging="85" w:hangingChars="50"/>
              <w:jc w:val="both"/>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jc w:val="center"/>
              <w:textAlignment w:val="auto"/>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2.5-11</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20" w:leftChars="-50" w:right="6" w:hanging="85" w:hangingChars="50"/>
              <w:textAlignment w:val="auto"/>
              <w:rPr>
                <w:rFonts w:hint="eastAsia" w:ascii="宋体" w:hAnsi="宋体" w:eastAsia="宋体" w:cs="Times New Roman"/>
                <w:color w:val="000000"/>
                <w:sz w:val="17"/>
                <w:szCs w:val="17"/>
                <w:lang w:val="en-US" w:eastAsia="zh-CN"/>
              </w:rPr>
            </w:pPr>
          </w:p>
        </w:tc>
        <w:tc>
          <w:tcPr>
            <w:tcW w:w="106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15" w:leftChars="-55" w:right="-101" w:firstLine="170" w:firstLineChars="100"/>
              <w:textAlignment w:val="auto"/>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w:t>
            </w:r>
          </w:p>
        </w:tc>
        <w:tc>
          <w:tcPr>
            <w:tcW w:w="40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社区学生党组织依托“三会一课”及主题党日活动，组织开展理论研学、实践体验等主题活动，加强学生党员的党性修养和组织观念，激励学生党员在新时代奋发有为。</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2.6-1</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85" w:firstLineChars="50"/>
              <w:textAlignment w:val="auto"/>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right="-101"/>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2.6-2</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85" w:firstLineChars="50"/>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2.6-3</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85" w:firstLineChars="50"/>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w:t>
            </w:r>
          </w:p>
        </w:tc>
        <w:tc>
          <w:tcPr>
            <w:tcW w:w="40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社区学生团组织依托“三会两制一课”及主题团日活动，组织开展理论学习、交流研讨等主题活动，筑牢学生理想信念根基。</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2.7-1</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2.7-2</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85" w:firstLineChars="50"/>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2.8</w:t>
            </w:r>
          </w:p>
        </w:tc>
        <w:tc>
          <w:tcPr>
            <w:tcW w:w="40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引导学生会充分发挥贴近同学、覆盖广泛的组织优势，当好党联系青年学生的桥梁和纽带，系统性组织开展主题文化活动，充分激发学生参与社区文化建设的自主性、积极性。</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2.8-1</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85" w:firstLineChars="50"/>
              <w:textAlignment w:val="auto"/>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6"/>
              <w:jc w:val="center"/>
              <w:rPr>
                <w:rFonts w:hint="eastAsia"/>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2.8-2</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2.8-3</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85" w:firstLineChars="50"/>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w:t>
            </w:r>
          </w:p>
        </w:tc>
        <w:tc>
          <w:tcPr>
            <w:tcW w:w="40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r>
              <w:rPr>
                <w:rFonts w:hint="eastAsia" w:ascii="宋体" w:hAnsi="宋体" w:eastAsia="宋体" w:cs="Times New Roman"/>
                <w:color w:val="000000"/>
                <w:sz w:val="17"/>
                <w:szCs w:val="17"/>
                <w:lang w:val="en-US" w:eastAsia="zh-CN"/>
              </w:rPr>
              <w:t>引导</w:t>
            </w:r>
            <w:r>
              <w:rPr>
                <w:rFonts w:hint="eastAsia" w:ascii="宋体" w:hAnsi="宋体" w:eastAsia="宋体" w:cs="Times New Roman"/>
                <w:color w:val="000000"/>
                <w:sz w:val="17"/>
                <w:szCs w:val="17"/>
              </w:rPr>
              <w:t>学生社团组织开展形式多样的主题文化活动，丰富第二课堂育人载体，营造浸润式“五育”文化，促进学生全面发展。</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2.9-1</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2.9-2</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2.9-3</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2.9-4</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2.9-5</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2.9-6</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2.9-7</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2.9-8</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2.9-9</w:t>
            </w:r>
          </w:p>
        </w:tc>
        <w:tc>
          <w:tcPr>
            <w:tcW w:w="31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right="6"/>
              <w:textAlignment w:val="auto"/>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0" w:hRule="atLeast"/>
          <w:jc w:val="center"/>
        </w:trPr>
        <w:tc>
          <w:tcPr>
            <w:tcW w:w="10006" w:type="dxa"/>
            <w:gridSpan w:val="8"/>
            <w:shd w:val="clear" w:color="auto" w:fill="D6E3BC"/>
            <w:noWrap w:val="0"/>
            <w:vAlign w:val="center"/>
          </w:tcPr>
          <w:p>
            <w:pPr>
              <w:spacing w:line="220" w:lineRule="exact"/>
              <w:ind w:left="-105" w:leftChars="-50" w:right="6" w:firstLine="180" w:firstLineChars="100"/>
              <w:rPr>
                <w:rFonts w:ascii="黑体" w:hAnsi="黑体" w:eastAsia="黑体" w:cs="Times New Roman"/>
                <w:color w:val="000000"/>
                <w:sz w:val="17"/>
                <w:szCs w:val="17"/>
              </w:rPr>
            </w:pPr>
            <w:r>
              <w:rPr>
                <w:rFonts w:hint="eastAsia" w:ascii="黑体" w:hAnsi="黑体" w:eastAsia="黑体" w:cs="Times New Roman"/>
                <w:color w:val="000000"/>
                <w:sz w:val="18"/>
                <w:szCs w:val="18"/>
              </w:rPr>
              <w:t>3.社区文化氛围向好向上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w:t>
            </w:r>
          </w:p>
        </w:tc>
        <w:tc>
          <w:tcPr>
            <w:tcW w:w="40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打造社区文化育人品牌，形成标志性文化项目、高水平文化类课程、原创性文化作品、引领提升社区文化育人实效。</w:t>
            </w: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3.10-1</w:t>
            </w:r>
          </w:p>
        </w:tc>
        <w:tc>
          <w:tcPr>
            <w:tcW w:w="3182" w:type="dxa"/>
            <w:gridSpan w:val="2"/>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rightChars="0"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3.10-4</w:t>
            </w:r>
          </w:p>
        </w:tc>
        <w:tc>
          <w:tcPr>
            <w:tcW w:w="3182" w:type="dxa"/>
            <w:gridSpan w:val="2"/>
            <w:noWrap w:val="0"/>
            <w:vAlign w:val="center"/>
          </w:tcPr>
          <w:p>
            <w:pPr>
              <w:spacing w:line="220" w:lineRule="exact"/>
              <w:ind w:right="6" w:rightChars="0"/>
              <w:rPr>
                <w:rFonts w:hint="eastAsia" w:ascii="宋体" w:hAnsi="宋体" w:eastAsia="宋体" w:cs="宋体"/>
                <w:i w:val="0"/>
                <w:iCs w:val="0"/>
                <w:color w:val="000000"/>
                <w:kern w:val="2"/>
                <w:sz w:val="17"/>
                <w:szCs w:val="17"/>
                <w:u w:val="none"/>
                <w:lang w:val="en-US" w:eastAsia="zh-CN" w:bidi="ar-SA"/>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3.11</w:t>
            </w:r>
          </w:p>
        </w:tc>
        <w:tc>
          <w:tcPr>
            <w:tcW w:w="40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凝练形成社区特色文化，调动党建、校史、专业等多方资源，沉淀形成符合学校、社区特点的文化氛围。</w:t>
            </w:r>
          </w:p>
        </w:tc>
        <w:tc>
          <w:tcPr>
            <w:tcW w:w="915" w:type="dxa"/>
            <w:gridSpan w:val="3"/>
            <w:noWrap w:val="0"/>
            <w:vAlign w:val="center"/>
          </w:tcPr>
          <w:p>
            <w:pPr>
              <w:spacing w:line="220" w:lineRule="exact"/>
              <w:ind w:left="-20" w:leftChars="-50" w:right="6" w:rightChars="0" w:hanging="85" w:hangingChars="50"/>
              <w:jc w:val="center"/>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3.11-1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rightChars="0" w:hanging="85" w:hangingChars="50"/>
              <w:jc w:val="center"/>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3.11-2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eastAsia"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rightChars="0" w:hanging="85" w:hangingChars="50"/>
              <w:jc w:val="center"/>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3.11-3</w:t>
            </w:r>
          </w:p>
        </w:tc>
        <w:tc>
          <w:tcPr>
            <w:tcW w:w="3182" w:type="dxa"/>
            <w:gridSpan w:val="2"/>
            <w:noWrap w:val="0"/>
            <w:vAlign w:val="center"/>
          </w:tcPr>
          <w:p>
            <w:pPr>
              <w:tabs>
                <w:tab w:val="left" w:pos="586"/>
              </w:tabs>
              <w:spacing w:line="220" w:lineRule="exact"/>
              <w:ind w:left="-20" w:leftChars="-50" w:right="6" w:hanging="85" w:hangingChars="50"/>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p>
        </w:tc>
        <w:tc>
          <w:tcPr>
            <w:tcW w:w="40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105" w:leftChars="-50" w:right="6" w:firstLine="0" w:firstLineChars="0"/>
              <w:textAlignment w:val="auto"/>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rightChars="0" w:hanging="85" w:hangingChars="5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3.11-4</w:t>
            </w:r>
          </w:p>
        </w:tc>
        <w:tc>
          <w:tcPr>
            <w:tcW w:w="3182" w:type="dxa"/>
            <w:gridSpan w:val="2"/>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rightChars="0" w:hanging="85" w:hangingChars="5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3.11-5</w:t>
            </w:r>
          </w:p>
        </w:tc>
        <w:tc>
          <w:tcPr>
            <w:tcW w:w="3182" w:type="dxa"/>
            <w:gridSpan w:val="2"/>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1063" w:type="dxa"/>
            <w:vMerge w:val="continue"/>
            <w:noWrap w:val="0"/>
            <w:vAlign w:val="center"/>
          </w:tcPr>
          <w:p>
            <w:pPr>
              <w:spacing w:line="240" w:lineRule="exact"/>
              <w:ind w:right="-115" w:firstLine="85" w:firstLineChars="5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0" w:leftChars="-50" w:right="6" w:hanging="85" w:hanging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20" w:leftChars="-50" w:right="6" w:hanging="85" w:hanging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3.11-6</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FABF8F"/>
            <w:noWrap w:val="0"/>
            <w:vAlign w:val="center"/>
          </w:tcPr>
          <w:p>
            <w:pPr>
              <w:spacing w:line="220" w:lineRule="exact"/>
              <w:ind w:left="-105" w:leftChars="-50" w:right="6"/>
              <w:rPr>
                <w:rFonts w:hint="default" w:ascii="黑体" w:hAnsi="黑体" w:eastAsia="黑体" w:cs="Times New Roman"/>
                <w:color w:val="000000"/>
                <w:sz w:val="17"/>
                <w:szCs w:val="17"/>
                <w:lang w:val="en-US" w:eastAsia="zh-CN"/>
              </w:rPr>
            </w:pPr>
            <w:r>
              <w:rPr>
                <w:rFonts w:hint="eastAsia" w:ascii="黑体" w:hAnsi="黑体" w:eastAsia="黑体" w:cs="Times New Roman"/>
                <w:color w:val="000000"/>
                <w:sz w:val="21"/>
                <w:szCs w:val="21"/>
              </w:rPr>
              <w:t xml:space="preserve">  </w:t>
            </w:r>
            <w:r>
              <w:rPr>
                <w:rFonts w:hint="eastAsia" w:ascii="黑体" w:hAnsi="黑体" w:eastAsia="黑体" w:cs="Times New Roman"/>
                <w:color w:val="000000"/>
                <w:sz w:val="21"/>
                <w:szCs w:val="21"/>
                <w:lang w:val="en-US" w:eastAsia="zh-CN"/>
              </w:rPr>
              <w:t>E</w:t>
            </w:r>
            <w:r>
              <w:rPr>
                <w:rFonts w:ascii="黑体" w:hAnsi="黑体" w:eastAsia="黑体" w:cs="Times New Roman"/>
                <w:color w:val="000000"/>
                <w:sz w:val="21"/>
                <w:szCs w:val="21"/>
              </w:rPr>
              <w:t>.</w:t>
            </w:r>
            <w:r>
              <w:rPr>
                <w:rFonts w:hint="eastAsia" w:ascii="黑体" w:hAnsi="黑体" w:eastAsia="黑体" w:cs="Times New Roman"/>
                <w:color w:val="000000"/>
                <w:sz w:val="21"/>
                <w:szCs w:val="21"/>
                <w:lang w:val="en-US" w:eastAsia="zh-CN"/>
              </w:rPr>
              <w:t>数字赋能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rPr>
                <w:rFonts w:hint="eastAsia" w:ascii="黑体" w:hAnsi="黑体" w:eastAsia="黑体" w:cs="Times New Roman"/>
                <w:color w:val="000000"/>
                <w:sz w:val="18"/>
                <w:szCs w:val="18"/>
                <w:lang w:val="en-US" w:eastAsia="zh-CN"/>
              </w:rPr>
            </w:pPr>
            <w:r>
              <w:rPr>
                <w:rFonts w:hint="eastAsia" w:ascii="黑体" w:hAnsi="黑体" w:eastAsia="黑体" w:cs="Times New Roman"/>
                <w:color w:val="000000"/>
                <w:sz w:val="18"/>
                <w:szCs w:val="18"/>
              </w:rPr>
              <w:t xml:space="preserve"> </w:t>
            </w:r>
            <w:r>
              <w:rPr>
                <w:rFonts w:hint="eastAsia" w:ascii="黑体" w:hAnsi="黑体" w:eastAsia="黑体" w:cs="Times New Roman"/>
                <w:color w:val="000000"/>
                <w:sz w:val="18"/>
                <w:szCs w:val="18"/>
                <w:lang w:val="en-US" w:eastAsia="zh-CN"/>
              </w:rPr>
              <w:t>1.夯实数字基建</w:t>
            </w:r>
          </w:p>
          <w:p>
            <w:pPr>
              <w:spacing w:line="220" w:lineRule="exact"/>
              <w:ind w:left="-105" w:leftChars="-50" w:right="6"/>
              <w:rPr>
                <w:rFonts w:hint="default" w:ascii="黑体" w:hAnsi="黑体" w:eastAsia="黑体" w:cs="Times New Roman"/>
                <w:color w:val="000000"/>
                <w:sz w:val="17"/>
                <w:szCs w:val="17"/>
                <w:lang w:val="en-US"/>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1.1</w:t>
            </w:r>
          </w:p>
        </w:tc>
        <w:tc>
          <w:tcPr>
            <w:tcW w:w="4020" w:type="dxa"/>
            <w:vMerge w:val="restart"/>
            <w:noWrap w:val="0"/>
            <w:vAlign w:val="center"/>
          </w:tcPr>
          <w:p>
            <w:pPr>
              <w:spacing w:line="220" w:lineRule="exact"/>
              <w:ind w:left="-21" w:leftChars="-10" w:right="6"/>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1.持续加强学生社区内有线网络、无线网络等网络基础建设，实现学生社区网络全覆盖和高速联通，为数字赋能社区提供网络基础保障。</w:t>
            </w: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1</w:t>
            </w:r>
          </w:p>
        </w:tc>
        <w:tc>
          <w:tcPr>
            <w:tcW w:w="3182" w:type="dxa"/>
            <w:gridSpan w:val="2"/>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ascii="宋体" w:hAnsi="宋体" w:eastAsia="宋体" w:cs="Times New Roman"/>
                <w:color w:val="000000"/>
                <w:sz w:val="17"/>
                <w:szCs w:val="17"/>
              </w:rPr>
            </w:pPr>
            <w:r>
              <w:rPr>
                <w:rFonts w:hint="eastAsia"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2</w:t>
            </w:r>
          </w:p>
        </w:tc>
        <w:tc>
          <w:tcPr>
            <w:tcW w:w="3182" w:type="dxa"/>
            <w:gridSpan w:val="2"/>
            <w:noWrap w:val="0"/>
            <w:vAlign w:val="center"/>
          </w:tcPr>
          <w:p>
            <w:pPr>
              <w:spacing w:line="220" w:lineRule="exact"/>
              <w:ind w:left="-105" w:leftChars="-50" w:right="6" w:firstLine="85" w:firstLineChars="50"/>
              <w:rPr>
                <w:rFonts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1.1-3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r>
              <w:rPr>
                <w:rFonts w:ascii="宋体" w:hAnsi="宋体" w:eastAsia="宋体" w:cs="Times New Roman"/>
                <w:color w:val="000000"/>
                <w:sz w:val="17"/>
                <w:szCs w:val="17"/>
              </w:rPr>
              <w:t>1.2</w:t>
            </w:r>
          </w:p>
        </w:tc>
        <w:tc>
          <w:tcPr>
            <w:tcW w:w="4020" w:type="dxa"/>
            <w:vMerge w:val="restart"/>
            <w:noWrap w:val="0"/>
            <w:vAlign w:val="center"/>
          </w:tcPr>
          <w:p>
            <w:pPr>
              <w:spacing w:line="220" w:lineRule="exact"/>
              <w:ind w:left="-21" w:leftChars="-10" w:right="6"/>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2.推进物联网智能感知终端建设，在学生社区内布设视频监控、门禁闸机等必要的信息采集设备，提升学生社区安全感知和风险防范能力。</w:t>
            </w: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p>
          <w:p>
            <w:pPr>
              <w:spacing w:line="220" w:lineRule="exact"/>
              <w:ind w:right="6" w:firstLine="170" w:firstLineChars="100"/>
              <w:jc w:val="both"/>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1.2-1</w:t>
            </w:r>
          </w:p>
          <w:p>
            <w:pPr>
              <w:spacing w:line="220" w:lineRule="exact"/>
              <w:ind w:right="6" w:rightChars="0"/>
              <w:jc w:val="center"/>
              <w:rPr>
                <w:rFonts w:hint="eastAsia" w:ascii="宋体" w:hAnsi="宋体" w:eastAsia="宋体" w:cs="Times New Roman"/>
                <w:color w:val="000000"/>
                <w:kern w:val="2"/>
                <w:sz w:val="17"/>
                <w:szCs w:val="17"/>
                <w:lang w:val="en-US" w:eastAsia="zh-CN" w:bidi="ar-SA"/>
              </w:rPr>
            </w:pPr>
          </w:p>
        </w:tc>
        <w:tc>
          <w:tcPr>
            <w:tcW w:w="3182" w:type="dxa"/>
            <w:gridSpan w:val="2"/>
            <w:noWrap w:val="0"/>
            <w:vAlign w:val="center"/>
          </w:tcPr>
          <w:p>
            <w:pPr>
              <w:spacing w:line="220" w:lineRule="exact"/>
              <w:ind w:left="-21" w:leftChars="-10"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2-</w:t>
            </w:r>
            <w:r>
              <w:rPr>
                <w:rFonts w:hint="eastAsia" w:ascii="宋体" w:hAnsi="宋体" w:eastAsia="宋体" w:cs="Times New Roman"/>
                <w:color w:val="000000"/>
                <w:sz w:val="17"/>
                <w:szCs w:val="17"/>
                <w:lang w:val="en-US" w:eastAsia="zh-CN"/>
              </w:rPr>
              <w:t>2</w:t>
            </w:r>
          </w:p>
          <w:p>
            <w:pPr>
              <w:spacing w:line="220" w:lineRule="exact"/>
              <w:ind w:right="6" w:rightChars="0"/>
              <w:jc w:val="center"/>
              <w:rPr>
                <w:rFonts w:hint="eastAsia" w:ascii="宋体" w:hAnsi="宋体" w:eastAsia="宋体" w:cs="Times New Roman"/>
                <w:color w:val="000000"/>
                <w:kern w:val="2"/>
                <w:sz w:val="17"/>
                <w:szCs w:val="17"/>
                <w:lang w:val="en-US" w:eastAsia="zh-CN" w:bidi="ar-SA"/>
              </w:rPr>
            </w:pPr>
          </w:p>
        </w:tc>
        <w:tc>
          <w:tcPr>
            <w:tcW w:w="3182" w:type="dxa"/>
            <w:gridSpan w:val="2"/>
            <w:noWrap w:val="0"/>
            <w:vAlign w:val="center"/>
          </w:tcPr>
          <w:p>
            <w:pPr>
              <w:spacing w:line="220" w:lineRule="exact"/>
              <w:ind w:left="-21" w:leftChars="-10"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right="6"/>
              <w:jc w:val="center"/>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1</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2-</w:t>
            </w:r>
            <w:r>
              <w:rPr>
                <w:rFonts w:hint="eastAsia" w:ascii="宋体" w:hAnsi="宋体" w:eastAsia="宋体" w:cs="Times New Roman"/>
                <w:color w:val="000000"/>
                <w:sz w:val="17"/>
                <w:szCs w:val="17"/>
                <w:lang w:val="en-US" w:eastAsia="zh-CN"/>
              </w:rPr>
              <w:t>3</w:t>
            </w:r>
          </w:p>
          <w:p>
            <w:pPr>
              <w:spacing w:line="220" w:lineRule="exact"/>
              <w:ind w:left="-105" w:leftChars="-50" w:right="6" w:rightChars="0" w:firstLine="340" w:firstLineChars="200"/>
              <w:jc w:val="center"/>
              <w:rPr>
                <w:rFonts w:hint="eastAsia" w:ascii="宋体" w:hAnsi="宋体" w:eastAsia="宋体" w:cs="Times New Roman"/>
                <w:color w:val="000000"/>
                <w:kern w:val="2"/>
                <w:sz w:val="17"/>
                <w:szCs w:val="17"/>
                <w:lang w:val="en-US" w:eastAsia="zh-CN" w:bidi="ar-SA"/>
              </w:rPr>
            </w:pPr>
          </w:p>
        </w:tc>
        <w:tc>
          <w:tcPr>
            <w:tcW w:w="3182" w:type="dxa"/>
            <w:gridSpan w:val="2"/>
            <w:noWrap w:val="0"/>
            <w:vAlign w:val="center"/>
          </w:tcPr>
          <w:p>
            <w:pPr>
              <w:spacing w:line="220" w:lineRule="exact"/>
              <w:ind w:left="-21" w:leftChars="-10" w:right="6"/>
              <w:rPr>
                <w:rFonts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915" w:type="dxa"/>
            <w:gridSpan w:val="3"/>
            <w:noWrap w:val="0"/>
            <w:vAlign w:val="center"/>
          </w:tcPr>
          <w:p>
            <w:pPr>
              <w:spacing w:line="220" w:lineRule="exact"/>
              <w:ind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1.2-4</w:t>
            </w:r>
          </w:p>
        </w:tc>
        <w:tc>
          <w:tcPr>
            <w:tcW w:w="3182" w:type="dxa"/>
            <w:gridSpan w:val="2"/>
            <w:noWrap w:val="0"/>
            <w:vAlign w:val="center"/>
          </w:tcPr>
          <w:p>
            <w:pPr>
              <w:spacing w:line="220" w:lineRule="exact"/>
              <w:ind w:left="-21" w:leftChars="-10" w:right="6"/>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915" w:type="dxa"/>
            <w:gridSpan w:val="3"/>
            <w:noWrap w:val="0"/>
            <w:vAlign w:val="center"/>
          </w:tcPr>
          <w:p>
            <w:pPr>
              <w:spacing w:line="220" w:lineRule="exact"/>
              <w:ind w:right="6" w:firstLine="170" w:firstLineChars="100"/>
              <w:jc w:val="both"/>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1.2-5</w:t>
            </w:r>
          </w:p>
        </w:tc>
        <w:tc>
          <w:tcPr>
            <w:tcW w:w="3182" w:type="dxa"/>
            <w:gridSpan w:val="2"/>
            <w:noWrap w:val="0"/>
            <w:vAlign w:val="center"/>
          </w:tcPr>
          <w:p>
            <w:pPr>
              <w:spacing w:line="220" w:lineRule="exact"/>
              <w:ind w:left="-21" w:leftChars="-10" w:right="6"/>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w:t>
            </w:r>
          </w:p>
        </w:tc>
        <w:tc>
          <w:tcPr>
            <w:tcW w:w="4020" w:type="dxa"/>
            <w:vMerge w:val="restart"/>
            <w:noWrap w:val="0"/>
            <w:vAlign w:val="center"/>
          </w:tcPr>
          <w:p>
            <w:pPr>
              <w:spacing w:line="220" w:lineRule="exact"/>
              <w:ind w:left="-21" w:leftChars="-10" w:right="6"/>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rPr>
              <w:t>3.学生社区配备充足的自助终端设备，为学生提供自主、便利、快捷的学习生活服务。</w:t>
            </w:r>
          </w:p>
        </w:tc>
        <w:tc>
          <w:tcPr>
            <w:tcW w:w="915" w:type="dxa"/>
            <w:gridSpan w:val="3"/>
            <w:noWrap w:val="0"/>
            <w:vAlign w:val="center"/>
          </w:tcPr>
          <w:p>
            <w:pPr>
              <w:spacing w:line="220" w:lineRule="exact"/>
              <w:ind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1.3-1</w:t>
            </w:r>
          </w:p>
        </w:tc>
        <w:tc>
          <w:tcPr>
            <w:tcW w:w="3182" w:type="dxa"/>
            <w:gridSpan w:val="2"/>
            <w:noWrap w:val="0"/>
            <w:vAlign w:val="center"/>
          </w:tcPr>
          <w:p>
            <w:pPr>
              <w:spacing w:line="220" w:lineRule="exact"/>
              <w:ind w:left="-21" w:leftChars="-10"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21" w:leftChars="-10" w:right="6"/>
              <w:rPr>
                <w:rFonts w:hint="eastAsia" w:ascii="宋体" w:hAnsi="宋体" w:eastAsia="宋体" w:cs="Times New Roman"/>
                <w:color w:val="000000"/>
                <w:sz w:val="17"/>
                <w:szCs w:val="17"/>
                <w:lang w:val="en-US" w:eastAsia="zh-CN"/>
              </w:rPr>
            </w:pPr>
          </w:p>
        </w:tc>
        <w:tc>
          <w:tcPr>
            <w:tcW w:w="915" w:type="dxa"/>
            <w:gridSpan w:val="3"/>
            <w:noWrap w:val="0"/>
            <w:vAlign w:val="center"/>
          </w:tcPr>
          <w:p>
            <w:pPr>
              <w:spacing w:line="220" w:lineRule="exact"/>
              <w:ind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1.3-2</w:t>
            </w:r>
          </w:p>
        </w:tc>
        <w:tc>
          <w:tcPr>
            <w:tcW w:w="3182" w:type="dxa"/>
            <w:gridSpan w:val="2"/>
            <w:noWrap w:val="0"/>
            <w:vAlign w:val="center"/>
          </w:tcPr>
          <w:p>
            <w:pPr>
              <w:spacing w:line="220" w:lineRule="exact"/>
              <w:ind w:left="-21" w:leftChars="-10" w:right="6"/>
              <w:rPr>
                <w:rFonts w:hint="eastAsia" w:ascii="宋体" w:hAnsi="宋体" w:eastAsia="宋体" w:cs="Times New Roman"/>
                <w:color w:val="000000"/>
                <w:sz w:val="17"/>
                <w:szCs w:val="17"/>
                <w:lang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right="6"/>
              <w:rPr>
                <w:rFonts w:hint="eastAsia" w:ascii="黑体" w:hAnsi="黑体" w:eastAsia="黑体" w:cs="Times New Roman"/>
                <w:color w:val="000000"/>
                <w:sz w:val="18"/>
                <w:szCs w:val="18"/>
                <w:lang w:val="en-US" w:eastAsia="zh-CN"/>
              </w:rPr>
            </w:pPr>
            <w:r>
              <w:rPr>
                <w:rFonts w:hint="eastAsia" w:ascii="黑体" w:hAnsi="黑体" w:eastAsia="黑体" w:cs="Times New Roman"/>
                <w:color w:val="000000"/>
                <w:sz w:val="18"/>
                <w:szCs w:val="18"/>
                <w:lang w:val="en-US" w:eastAsia="zh-CN"/>
              </w:rPr>
              <w:t>2.建设数据底座</w:t>
            </w:r>
          </w:p>
          <w:p>
            <w:pPr>
              <w:spacing w:line="220" w:lineRule="exact"/>
              <w:ind w:left="-105" w:leftChars="-50" w:right="6" w:firstLine="170" w:firstLineChars="100"/>
              <w:rPr>
                <w:rFonts w:hint="default" w:ascii="黑体" w:hAnsi="黑体" w:eastAsia="黑体" w:cs="Times New Roman"/>
                <w:color w:val="000000"/>
                <w:sz w:val="17"/>
                <w:szCs w:val="17"/>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2.4</w:t>
            </w:r>
          </w:p>
        </w:tc>
        <w:tc>
          <w:tcPr>
            <w:tcW w:w="4020" w:type="dxa"/>
            <w:vMerge w:val="restart"/>
            <w:noWrap w:val="0"/>
            <w:vAlign w:val="center"/>
          </w:tcPr>
          <w:p>
            <w:pPr>
              <w:spacing w:line="220" w:lineRule="exact"/>
              <w:ind w:left="-21" w:leftChars="-10" w:right="6"/>
              <w:rPr>
                <w:rFonts w:ascii="宋体" w:hAnsi="宋体" w:eastAsia="宋体" w:cs="Times New Roman"/>
                <w:color w:val="000000"/>
                <w:sz w:val="17"/>
                <w:szCs w:val="17"/>
              </w:rPr>
            </w:pPr>
            <w:r>
              <w:rPr>
                <w:rFonts w:hint="eastAsia" w:ascii="宋体" w:hAnsi="宋体" w:eastAsia="宋体" w:cs="Times New Roman"/>
                <w:color w:val="000000"/>
                <w:sz w:val="17"/>
                <w:szCs w:val="17"/>
              </w:rPr>
              <w:t>4.统筹推进“一站式”学生社区信息化建设，持续加强校园统一身份认证、一卡通聚合支付等信息化基础平台建设。</w:t>
            </w: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rPr>
              <w:t>2</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4-1</w:t>
            </w:r>
          </w:p>
        </w:tc>
        <w:tc>
          <w:tcPr>
            <w:tcW w:w="3182" w:type="dxa"/>
            <w:gridSpan w:val="2"/>
            <w:noWrap w:val="0"/>
            <w:vAlign w:val="center"/>
          </w:tcPr>
          <w:p>
            <w:pPr>
              <w:spacing w:line="240" w:lineRule="exact"/>
              <w:rPr>
                <w:rFonts w:hint="eastAsia" w:ascii="宋体" w:hAnsi="宋体" w:eastAsia="宋体" w:cs="Times New Roman"/>
                <w:color w:val="000000"/>
                <w:sz w:val="17"/>
                <w:szCs w:val="17"/>
              </w:rPr>
            </w:pPr>
          </w:p>
        </w:tc>
        <w:tc>
          <w:tcPr>
            <w:tcW w:w="1063" w:type="dxa"/>
            <w:vMerge w:val="restart"/>
            <w:noWrap w:val="0"/>
            <w:vAlign w:val="center"/>
          </w:tcPr>
          <w:p>
            <w:pPr>
              <w:pStyle w:val="2"/>
              <w:rPr>
                <w:rFonts w:hint="eastAsia"/>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rPr>
              <w:t>2</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4-2</w:t>
            </w:r>
          </w:p>
        </w:tc>
        <w:tc>
          <w:tcPr>
            <w:tcW w:w="3182" w:type="dxa"/>
            <w:gridSpan w:val="2"/>
            <w:noWrap w:val="0"/>
            <w:vAlign w:val="center"/>
          </w:tcPr>
          <w:p>
            <w:pPr>
              <w:spacing w:line="240" w:lineRule="exact"/>
              <w:rPr>
                <w:rFonts w:hint="eastAsia" w:ascii="宋体" w:hAnsi="宋体" w:eastAsia="宋体" w:cs="宋体"/>
                <w:color w:val="000000"/>
                <w:sz w:val="17"/>
                <w:szCs w:val="17"/>
                <w:lang w:eastAsia="zh-CN"/>
              </w:rPr>
            </w:pPr>
          </w:p>
        </w:tc>
        <w:tc>
          <w:tcPr>
            <w:tcW w:w="1063" w:type="dxa"/>
            <w:vMerge w:val="continue"/>
            <w:noWrap w:val="0"/>
            <w:vAlign w:val="center"/>
          </w:tcPr>
          <w:p>
            <w:pPr>
              <w:spacing w:line="220" w:lineRule="exact"/>
              <w:ind w:left="-115" w:leftChars="-55" w:right="-101" w:firstLine="170" w:firstLineChars="100"/>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rPr>
              <w:t>2</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rPr>
              <w:t>4-3</w:t>
            </w:r>
          </w:p>
        </w:tc>
        <w:tc>
          <w:tcPr>
            <w:tcW w:w="3182" w:type="dxa"/>
            <w:gridSpan w:val="2"/>
            <w:noWrap w:val="0"/>
            <w:vAlign w:val="center"/>
          </w:tcPr>
          <w:p>
            <w:pPr>
              <w:spacing w:line="240" w:lineRule="exact"/>
              <w:rPr>
                <w:rFonts w:ascii="宋体" w:hAnsi="宋体" w:eastAsia="宋体" w:cs="宋体"/>
                <w:color w:val="000000"/>
                <w:sz w:val="17"/>
                <w:szCs w:val="17"/>
              </w:rPr>
            </w:pPr>
          </w:p>
        </w:tc>
        <w:tc>
          <w:tcPr>
            <w:tcW w:w="1063" w:type="dxa"/>
            <w:vMerge w:val="continue"/>
            <w:noWrap w:val="0"/>
            <w:vAlign w:val="center"/>
          </w:tcPr>
          <w:p>
            <w:pPr>
              <w:spacing w:line="220" w:lineRule="exact"/>
              <w:ind w:left="-105" w:leftChars="-50" w:right="-101" w:firstLine="170" w:firstLineChars="100"/>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jc w:val="center"/>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eastAsia="zh-CN"/>
              </w:rPr>
              <w:t>2</w:t>
            </w:r>
            <w:r>
              <w:rPr>
                <w:rFonts w:hint="eastAsia" w:ascii="宋体" w:hAnsi="宋体" w:eastAsia="宋体" w:cs="Times New Roman"/>
                <w:color w:val="000000"/>
                <w:sz w:val="17"/>
                <w:szCs w:val="17"/>
                <w:lang w:val="en-US" w:eastAsia="zh-CN"/>
              </w:rPr>
              <w:t>.</w:t>
            </w:r>
            <w:r>
              <w:rPr>
                <w:rFonts w:hint="eastAsia" w:ascii="宋体" w:hAnsi="宋体" w:eastAsia="宋体" w:cs="Times New Roman"/>
                <w:color w:val="000000"/>
                <w:sz w:val="17"/>
                <w:szCs w:val="17"/>
                <w:lang w:eastAsia="zh-CN"/>
              </w:rPr>
              <w:t>4-4</w:t>
            </w:r>
          </w:p>
        </w:tc>
        <w:tc>
          <w:tcPr>
            <w:tcW w:w="3182" w:type="dxa"/>
            <w:gridSpan w:val="2"/>
            <w:noWrap w:val="0"/>
            <w:vAlign w:val="center"/>
          </w:tcPr>
          <w:p>
            <w:pPr>
              <w:spacing w:line="240" w:lineRule="exact"/>
              <w:rPr>
                <w:rFonts w:hint="eastAsia" w:ascii="宋体" w:hAnsi="宋体" w:eastAsia="宋体" w:cs="宋体"/>
                <w:color w:val="000000"/>
                <w:sz w:val="17"/>
                <w:szCs w:val="17"/>
              </w:rPr>
            </w:pPr>
          </w:p>
        </w:tc>
        <w:tc>
          <w:tcPr>
            <w:tcW w:w="1063" w:type="dxa"/>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2.4-5</w:t>
            </w:r>
          </w:p>
        </w:tc>
        <w:tc>
          <w:tcPr>
            <w:tcW w:w="3182" w:type="dxa"/>
            <w:gridSpan w:val="2"/>
            <w:noWrap w:val="0"/>
            <w:vAlign w:val="center"/>
          </w:tcPr>
          <w:p>
            <w:pPr>
              <w:spacing w:line="240" w:lineRule="exact"/>
              <w:rPr>
                <w:rFonts w:hint="eastAsia" w:ascii="宋体" w:hAnsi="宋体" w:eastAsia="宋体" w:cs="宋体"/>
                <w:color w:val="000000"/>
                <w:sz w:val="17"/>
                <w:szCs w:val="17"/>
              </w:rPr>
            </w:pPr>
          </w:p>
        </w:tc>
        <w:tc>
          <w:tcPr>
            <w:tcW w:w="1063" w:type="dxa"/>
            <w:vMerge w:val="continue"/>
            <w:noWrap w:val="0"/>
            <w:vAlign w:val="center"/>
          </w:tcPr>
          <w:p>
            <w:pPr>
              <w:spacing w:line="220" w:lineRule="exact"/>
              <w:ind w:left="-105" w:leftChars="-50"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w:t>
            </w:r>
          </w:p>
        </w:tc>
        <w:tc>
          <w:tcPr>
            <w:tcW w:w="4020" w:type="dxa"/>
            <w:vMerge w:val="restart"/>
            <w:noWrap w:val="0"/>
            <w:vAlign w:val="center"/>
          </w:tcPr>
          <w:p>
            <w:pPr>
              <w:spacing w:line="220" w:lineRule="exact"/>
              <w:ind w:right="6"/>
              <w:rPr>
                <w:rFonts w:ascii="宋体" w:hAnsi="宋体" w:eastAsia="宋体" w:cs="Times New Roman"/>
                <w:color w:val="000000"/>
                <w:sz w:val="17"/>
                <w:szCs w:val="17"/>
              </w:rPr>
            </w:pPr>
            <w:r>
              <w:rPr>
                <w:rFonts w:hint="eastAsia" w:ascii="宋体" w:hAnsi="宋体" w:eastAsia="宋体" w:cs="Times New Roman"/>
                <w:color w:val="000000"/>
                <w:sz w:val="17"/>
                <w:szCs w:val="17"/>
              </w:rPr>
              <w:t>5.</w:t>
            </w:r>
            <w:r>
              <w:rPr>
                <w:rFonts w:hint="eastAsia" w:ascii="宋体" w:hAnsi="宋体" w:eastAsia="宋体" w:cs="Times New Roman"/>
                <w:color w:val="000000"/>
                <w:sz w:val="17"/>
                <w:szCs w:val="17"/>
                <w:lang w:val="en-US" w:eastAsia="zh-CN"/>
              </w:rPr>
              <w:t>推动</w:t>
            </w:r>
            <w:r>
              <w:rPr>
                <w:rFonts w:hint="eastAsia" w:ascii="宋体" w:hAnsi="宋体" w:eastAsia="宋体" w:cs="Times New Roman"/>
                <w:color w:val="000000"/>
                <w:sz w:val="17"/>
                <w:szCs w:val="17"/>
              </w:rPr>
              <w:t>多平台数据汇聚，破除</w:t>
            </w:r>
            <w:r>
              <w:rPr>
                <w:rFonts w:hint="eastAsia" w:ascii="宋体" w:hAnsi="宋体" w:eastAsia="宋体" w:cs="Times New Roman"/>
                <w:color w:val="000000"/>
                <w:sz w:val="17"/>
                <w:szCs w:val="17"/>
                <w:lang w:eastAsia="zh-CN"/>
              </w:rPr>
              <w:t>“</w:t>
            </w:r>
            <w:r>
              <w:rPr>
                <w:rFonts w:hint="eastAsia" w:ascii="宋体" w:hAnsi="宋体" w:eastAsia="宋体" w:cs="Times New Roman"/>
                <w:color w:val="000000"/>
                <w:sz w:val="17"/>
                <w:szCs w:val="17"/>
              </w:rPr>
              <w:t>信息孤岛</w:t>
            </w:r>
            <w:r>
              <w:rPr>
                <w:rFonts w:hint="eastAsia" w:ascii="宋体" w:hAnsi="宋体" w:eastAsia="宋体" w:cs="Times New Roman"/>
                <w:color w:val="000000"/>
                <w:sz w:val="17"/>
                <w:szCs w:val="17"/>
                <w:lang w:eastAsia="zh-CN"/>
              </w:rPr>
              <w:t>”</w:t>
            </w:r>
            <w:r>
              <w:rPr>
                <w:rFonts w:hint="eastAsia" w:ascii="宋体" w:hAnsi="宋体" w:eastAsia="宋体" w:cs="Times New Roman"/>
                <w:color w:val="000000"/>
                <w:sz w:val="17"/>
                <w:szCs w:val="17"/>
              </w:rPr>
              <w:t>，提升数据交换共享能力，实现各类数据共享联通。</w:t>
            </w:r>
          </w:p>
        </w:tc>
        <w:tc>
          <w:tcPr>
            <w:tcW w:w="915" w:type="dxa"/>
            <w:gridSpan w:val="3"/>
            <w:noWrap w:val="0"/>
            <w:vAlign w:val="center"/>
          </w:tcPr>
          <w:p>
            <w:pPr>
              <w:spacing w:line="220" w:lineRule="exact"/>
              <w:ind w:right="6" w:rightChars="0"/>
              <w:jc w:val="both"/>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2.5-1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eastAsia="zh-CN"/>
              </w:rPr>
            </w:pPr>
          </w:p>
        </w:tc>
        <w:tc>
          <w:tcPr>
            <w:tcW w:w="1063" w:type="dxa"/>
            <w:vMerge w:val="restart"/>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right="6"/>
              <w:rPr>
                <w:rFonts w:ascii="宋体" w:hAnsi="宋体" w:eastAsia="宋体" w:cs="Times New Roman"/>
                <w:color w:val="000000"/>
                <w:sz w:val="17"/>
                <w:szCs w:val="17"/>
              </w:rPr>
            </w:pPr>
          </w:p>
        </w:tc>
        <w:tc>
          <w:tcPr>
            <w:tcW w:w="915" w:type="dxa"/>
            <w:gridSpan w:val="3"/>
            <w:noWrap w:val="0"/>
            <w:vAlign w:val="center"/>
          </w:tcPr>
          <w:p>
            <w:pPr>
              <w:spacing w:line="220" w:lineRule="exact"/>
              <w:ind w:right="6" w:rightChars="0"/>
              <w:jc w:val="both"/>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2.5-2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right="6" w:rightChars="0"/>
              <w:jc w:val="both"/>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2.5-3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right="6" w:rightChars="0"/>
              <w:jc w:val="both"/>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2.5-4</w:t>
            </w:r>
          </w:p>
        </w:tc>
        <w:tc>
          <w:tcPr>
            <w:tcW w:w="3182" w:type="dxa"/>
            <w:gridSpan w:val="2"/>
            <w:noWrap w:val="0"/>
            <w:vAlign w:val="center"/>
          </w:tcPr>
          <w:p>
            <w:pPr>
              <w:spacing w:line="220" w:lineRule="exact"/>
              <w:ind w:right="6"/>
              <w:rPr>
                <w:rFonts w:hint="default"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21" w:leftChars="-10" w:right="6"/>
              <w:rPr>
                <w:rFonts w:ascii="宋体" w:hAnsi="宋体" w:eastAsia="宋体" w:cs="Times New Roman"/>
                <w:color w:val="000000"/>
                <w:sz w:val="17"/>
                <w:szCs w:val="17"/>
              </w:rPr>
            </w:pPr>
          </w:p>
        </w:tc>
        <w:tc>
          <w:tcPr>
            <w:tcW w:w="915" w:type="dxa"/>
            <w:gridSpan w:val="3"/>
            <w:noWrap w:val="0"/>
            <w:vAlign w:val="center"/>
          </w:tcPr>
          <w:p>
            <w:pPr>
              <w:spacing w:line="220" w:lineRule="exact"/>
              <w:ind w:right="6"/>
              <w:jc w:val="both"/>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2.5-5</w:t>
            </w:r>
          </w:p>
        </w:tc>
        <w:tc>
          <w:tcPr>
            <w:tcW w:w="3182" w:type="dxa"/>
            <w:gridSpan w:val="2"/>
            <w:noWrap w:val="0"/>
            <w:vAlign w:val="center"/>
          </w:tcPr>
          <w:p>
            <w:pPr>
              <w:spacing w:line="220" w:lineRule="exact"/>
              <w:ind w:right="6"/>
              <w:rPr>
                <w:rFonts w:hint="default"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right="6"/>
              <w:rPr>
                <w:rFonts w:hint="default" w:ascii="黑体" w:hAnsi="黑体" w:eastAsia="黑体" w:cs="Times New Roman"/>
                <w:color w:val="000000"/>
                <w:sz w:val="17"/>
                <w:szCs w:val="17"/>
                <w:lang w:val="en-US" w:eastAsia="zh-CN"/>
              </w:rPr>
            </w:pPr>
            <w:r>
              <w:rPr>
                <w:rFonts w:hint="eastAsia" w:ascii="黑体" w:hAnsi="黑体" w:eastAsia="黑体" w:cs="Times New Roman"/>
                <w:color w:val="000000"/>
                <w:sz w:val="18"/>
                <w:szCs w:val="18"/>
                <w:lang w:val="en-US" w:eastAsia="zh-CN"/>
              </w:rPr>
              <w:t>3.拓展数字应用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3.6</w:t>
            </w:r>
          </w:p>
        </w:tc>
        <w:tc>
          <w:tcPr>
            <w:tcW w:w="4020" w:type="dxa"/>
            <w:vMerge w:val="restart"/>
            <w:noWrap w:val="0"/>
            <w:vAlign w:val="center"/>
          </w:tcPr>
          <w:p>
            <w:pPr>
              <w:spacing w:line="220" w:lineRule="exact"/>
              <w:ind w:left="-105" w:leftChars="-50" w:right="6" w:firstLine="85" w:firstLineChars="50"/>
              <w:rPr>
                <w:rFonts w:ascii="宋体" w:hAnsi="宋体" w:eastAsia="宋体" w:cs="Times New Roman"/>
                <w:color w:val="000000"/>
                <w:sz w:val="17"/>
                <w:szCs w:val="17"/>
              </w:rPr>
            </w:pPr>
            <w:r>
              <w:rPr>
                <w:rFonts w:hint="eastAsia" w:ascii="宋体" w:hAnsi="宋体" w:eastAsia="宋体" w:cs="Times New Roman"/>
                <w:color w:val="000000"/>
                <w:sz w:val="17"/>
                <w:szCs w:val="17"/>
              </w:rPr>
              <w:t>6.建设“一站式”学生网上服务平台，为学生提供“一网通办”的线上服务。</w:t>
            </w:r>
          </w:p>
        </w:tc>
        <w:tc>
          <w:tcPr>
            <w:tcW w:w="915" w:type="dxa"/>
            <w:gridSpan w:val="3"/>
            <w:noWrap w:val="0"/>
            <w:vAlign w:val="center"/>
          </w:tcPr>
          <w:p>
            <w:pPr>
              <w:spacing w:line="220" w:lineRule="exact"/>
              <w:ind w:right="6" w:rightChars="0" w:firstLine="170" w:firstLineChars="100"/>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3.6-1</w:t>
            </w:r>
          </w:p>
        </w:tc>
        <w:tc>
          <w:tcPr>
            <w:tcW w:w="3182" w:type="dxa"/>
            <w:gridSpan w:val="2"/>
            <w:noWrap w:val="0"/>
            <w:vAlign w:val="center"/>
          </w:tcPr>
          <w:p>
            <w:pPr>
              <w:spacing w:line="240" w:lineRule="exac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firstLine="85" w:firstLineChars="5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3.6-2</w:t>
            </w:r>
          </w:p>
        </w:tc>
        <w:tc>
          <w:tcPr>
            <w:tcW w:w="3182" w:type="dxa"/>
            <w:gridSpan w:val="2"/>
            <w:noWrap w:val="0"/>
            <w:vAlign w:val="center"/>
          </w:tcPr>
          <w:p>
            <w:pPr>
              <w:spacing w:line="240" w:lineRule="exact"/>
              <w:rPr>
                <w:rFonts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firstLine="85" w:firstLineChars="5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3.6-3</w:t>
            </w:r>
          </w:p>
        </w:tc>
        <w:tc>
          <w:tcPr>
            <w:tcW w:w="3182" w:type="dxa"/>
            <w:gridSpan w:val="2"/>
            <w:noWrap w:val="0"/>
            <w:vAlign w:val="center"/>
          </w:tcPr>
          <w:p>
            <w:pPr>
              <w:spacing w:line="240" w:lineRule="exact"/>
              <w:rPr>
                <w:rFonts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firstLine="85" w:firstLineChars="5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3.6-4</w:t>
            </w:r>
          </w:p>
        </w:tc>
        <w:tc>
          <w:tcPr>
            <w:tcW w:w="3182" w:type="dxa"/>
            <w:gridSpan w:val="2"/>
            <w:noWrap w:val="0"/>
            <w:vAlign w:val="center"/>
          </w:tcPr>
          <w:p>
            <w:pPr>
              <w:spacing w:line="240" w:lineRule="exact"/>
              <w:rPr>
                <w:rFonts w:ascii="宋体" w:hAnsi="宋体" w:eastAsia="宋体" w:cs="Times New Roman"/>
                <w:color w:val="000000"/>
                <w:sz w:val="17"/>
                <w:szCs w:val="17"/>
              </w:rPr>
            </w:pPr>
          </w:p>
        </w:tc>
        <w:tc>
          <w:tcPr>
            <w:tcW w:w="1063" w:type="dxa"/>
            <w:vMerge w:val="continue"/>
            <w:noWrap w:val="0"/>
            <w:vAlign w:val="center"/>
          </w:tcPr>
          <w:p>
            <w:pPr>
              <w:spacing w:line="240" w:lineRule="exact"/>
              <w:ind w:right="-115" w:firstLine="85" w:firstLineChars="50"/>
              <w:rPr>
                <w:rFonts w:ascii="宋体" w:hAnsi="宋体" w:eastAsia="宋体" w:cs="Times New Roman"/>
                <w:color w:val="000000"/>
                <w:sz w:val="17"/>
                <w:szCs w:val="17"/>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3.6-5</w:t>
            </w:r>
          </w:p>
        </w:tc>
        <w:tc>
          <w:tcPr>
            <w:tcW w:w="3182" w:type="dxa"/>
            <w:gridSpan w:val="2"/>
            <w:noWrap w:val="0"/>
            <w:vAlign w:val="center"/>
          </w:tcPr>
          <w:p>
            <w:pPr>
              <w:spacing w:line="240" w:lineRule="exact"/>
              <w:rPr>
                <w:rFonts w:hint="default"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3.7</w:t>
            </w:r>
          </w:p>
        </w:tc>
        <w:tc>
          <w:tcPr>
            <w:tcW w:w="4020" w:type="dxa"/>
            <w:vMerge w:val="restart"/>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r>
              <w:rPr>
                <w:rFonts w:hint="eastAsia" w:ascii="宋体" w:hAnsi="宋体" w:eastAsia="宋体" w:cs="Times New Roman"/>
                <w:color w:val="000000"/>
                <w:sz w:val="17"/>
                <w:szCs w:val="17"/>
              </w:rPr>
              <w:t>7.</w:t>
            </w:r>
            <w:r>
              <w:rPr>
                <w:rFonts w:hint="eastAsia" w:ascii="宋体" w:hAnsi="宋体" w:eastAsia="宋体" w:cs="Times New Roman"/>
                <w:color w:val="000000"/>
                <w:sz w:val="17"/>
                <w:szCs w:val="17"/>
                <w:lang w:val="en-US" w:eastAsia="zh-CN"/>
              </w:rPr>
              <w:t>完善</w:t>
            </w:r>
            <w:r>
              <w:rPr>
                <w:rFonts w:hint="eastAsia" w:ascii="宋体" w:hAnsi="宋体" w:eastAsia="宋体" w:cs="Times New Roman"/>
                <w:color w:val="000000"/>
                <w:sz w:val="17"/>
                <w:szCs w:val="17"/>
              </w:rPr>
              <w:t>“一站式”学生社区数字化管理应用，</w:t>
            </w:r>
            <w:r>
              <w:rPr>
                <w:rFonts w:hint="eastAsia" w:ascii="宋体" w:hAnsi="宋体" w:eastAsia="宋体" w:cs="Times New Roman"/>
                <w:color w:val="000000"/>
                <w:sz w:val="17"/>
                <w:szCs w:val="17"/>
                <w:lang w:val="en-US" w:eastAsia="zh-CN"/>
              </w:rPr>
              <w:t>助力社区育人</w:t>
            </w:r>
          </w:p>
        </w:tc>
        <w:tc>
          <w:tcPr>
            <w:tcW w:w="915" w:type="dxa"/>
            <w:gridSpan w:val="3"/>
            <w:noWrap w:val="0"/>
            <w:vAlign w:val="center"/>
          </w:tcPr>
          <w:p>
            <w:pPr>
              <w:spacing w:line="220" w:lineRule="exact"/>
              <w:ind w:right="6" w:rightChars="0"/>
              <w:jc w:val="center"/>
              <w:rPr>
                <w:rFonts w:hint="eastAsia"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3.7-1</w:t>
            </w:r>
          </w:p>
        </w:tc>
        <w:tc>
          <w:tcPr>
            <w:tcW w:w="3182" w:type="dxa"/>
            <w:gridSpan w:val="2"/>
            <w:noWrap w:val="0"/>
            <w:vAlign w:val="center"/>
          </w:tcPr>
          <w:p>
            <w:pPr>
              <w:spacing w:line="240" w:lineRule="exact"/>
              <w:rPr>
                <w:rFonts w:hint="eastAsia" w:ascii="宋体" w:hAnsi="宋体" w:eastAsia="宋体" w:cs="Times New Roman"/>
                <w:color w:val="000000"/>
                <w:sz w:val="17"/>
                <w:szCs w:val="17"/>
                <w:lang w:eastAsia="zh-CN"/>
              </w:rPr>
            </w:pPr>
          </w:p>
        </w:tc>
        <w:tc>
          <w:tcPr>
            <w:tcW w:w="1063" w:type="dxa"/>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firstLine="85" w:firstLineChars="5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3.7-2</w:t>
            </w:r>
          </w:p>
        </w:tc>
        <w:tc>
          <w:tcPr>
            <w:tcW w:w="3182" w:type="dxa"/>
            <w:gridSpan w:val="2"/>
            <w:noWrap w:val="0"/>
            <w:vAlign w:val="center"/>
          </w:tcPr>
          <w:p>
            <w:pPr>
              <w:spacing w:line="240" w:lineRule="exact"/>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firstLine="85" w:firstLineChars="5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3.7-3</w:t>
            </w:r>
          </w:p>
        </w:tc>
        <w:tc>
          <w:tcPr>
            <w:tcW w:w="3182" w:type="dxa"/>
            <w:gridSpan w:val="2"/>
            <w:noWrap w:val="0"/>
            <w:vAlign w:val="center"/>
          </w:tcPr>
          <w:p>
            <w:pPr>
              <w:spacing w:line="240" w:lineRule="exact"/>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rightChars="0" w:firstLine="85" w:firstLineChars="50"/>
              <w:jc w:val="center"/>
              <w:rPr>
                <w:rFonts w:hint="default" w:ascii="宋体" w:hAnsi="宋体" w:eastAsia="宋体" w:cs="Times New Roman"/>
                <w:color w:val="000000"/>
                <w:kern w:val="2"/>
                <w:sz w:val="17"/>
                <w:szCs w:val="17"/>
                <w:lang w:val="en-US" w:eastAsia="zh-CN" w:bidi="ar-SA"/>
              </w:rPr>
            </w:pPr>
            <w:r>
              <w:rPr>
                <w:rFonts w:hint="eastAsia" w:ascii="宋体" w:hAnsi="宋体" w:eastAsia="宋体" w:cs="Times New Roman"/>
                <w:color w:val="000000"/>
                <w:sz w:val="17"/>
                <w:szCs w:val="17"/>
                <w:lang w:val="en-US" w:eastAsia="zh-CN"/>
              </w:rPr>
              <w:t>3.7-4</w:t>
            </w:r>
          </w:p>
        </w:tc>
        <w:tc>
          <w:tcPr>
            <w:tcW w:w="3182" w:type="dxa"/>
            <w:gridSpan w:val="2"/>
            <w:noWrap w:val="0"/>
            <w:vAlign w:val="center"/>
          </w:tcPr>
          <w:p>
            <w:pPr>
              <w:spacing w:line="240" w:lineRule="exact"/>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3.7-5</w:t>
            </w:r>
          </w:p>
        </w:tc>
        <w:tc>
          <w:tcPr>
            <w:tcW w:w="3182" w:type="dxa"/>
            <w:gridSpan w:val="2"/>
            <w:noWrap w:val="0"/>
            <w:vAlign w:val="center"/>
          </w:tcPr>
          <w:p>
            <w:pPr>
              <w:spacing w:line="240" w:lineRule="exact"/>
              <w:rPr>
                <w:rFonts w:hint="eastAsia" w:ascii="宋体" w:hAnsi="宋体" w:eastAsia="宋体" w:cs="Times New Roman"/>
                <w:color w:val="000000"/>
                <w:sz w:val="17"/>
                <w:szCs w:val="17"/>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rPr>
                <w:rFonts w:hint="default" w:eastAsia="等线"/>
                <w:lang w:val="en-US" w:eastAsia="zh-CN"/>
              </w:rPr>
            </w:pPr>
            <w:r>
              <w:rPr>
                <w:rFonts w:hint="eastAsia" w:ascii="宋体" w:hAnsi="宋体" w:eastAsia="宋体" w:cs="Times New Roman"/>
                <w:color w:val="000000"/>
                <w:sz w:val="18"/>
                <w:szCs w:val="18"/>
                <w:shd w:val="clear" w:color="auto" w:fill="auto"/>
                <w:lang w:val="en-US" w:eastAsia="zh-CN"/>
              </w:rPr>
              <w:t>4.社区数智生态</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4.8</w:t>
            </w:r>
          </w:p>
        </w:tc>
        <w:tc>
          <w:tcPr>
            <w:tcW w:w="4020" w:type="dxa"/>
            <w:vMerge w:val="restart"/>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8.推动数字技术与社区学生管理服务深度融合，构建全周期的学生数字化档案，客观记录学生品行日常表现和突出表现</w:t>
            </w:r>
          </w:p>
        </w:tc>
        <w:tc>
          <w:tcPr>
            <w:tcW w:w="915" w:type="dxa"/>
            <w:gridSpan w:val="3"/>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4.8-1</w:t>
            </w:r>
          </w:p>
        </w:tc>
        <w:tc>
          <w:tcPr>
            <w:tcW w:w="3182" w:type="dxa"/>
            <w:gridSpan w:val="2"/>
            <w:noWrap w:val="0"/>
            <w:vAlign w:val="center"/>
          </w:tcPr>
          <w:p>
            <w:pPr>
              <w:spacing w:line="240" w:lineRule="exact"/>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4.8-2</w:t>
            </w:r>
          </w:p>
        </w:tc>
        <w:tc>
          <w:tcPr>
            <w:tcW w:w="3182" w:type="dxa"/>
            <w:gridSpan w:val="2"/>
            <w:noWrap w:val="0"/>
            <w:vAlign w:val="center"/>
          </w:tcPr>
          <w:p>
            <w:pPr>
              <w:spacing w:line="240" w:lineRule="exac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85" w:firstLineChars="50"/>
              <w:jc w:val="center"/>
              <w:rPr>
                <w:rFonts w:ascii="宋体" w:hAnsi="宋体" w:eastAsia="宋体" w:cs="Times New Roman"/>
                <w:color w:val="000000"/>
                <w:sz w:val="17"/>
                <w:szCs w:val="17"/>
              </w:rPr>
            </w:pPr>
          </w:p>
        </w:tc>
        <w:tc>
          <w:tcPr>
            <w:tcW w:w="4020" w:type="dxa"/>
            <w:vMerge w:val="continue"/>
            <w:noWrap w:val="0"/>
            <w:vAlign w:val="center"/>
          </w:tcPr>
          <w:p>
            <w:pPr>
              <w:spacing w:line="220" w:lineRule="exact"/>
              <w:ind w:left="-105" w:leftChars="-50" w:right="6" w:firstLine="85" w:firstLineChars="50"/>
              <w:rPr>
                <w:rFonts w:hint="eastAsia" w:ascii="宋体" w:hAnsi="宋体" w:eastAsia="宋体" w:cs="Times New Roman"/>
                <w:color w:val="000000"/>
                <w:sz w:val="17"/>
                <w:szCs w:val="17"/>
              </w:rPr>
            </w:pPr>
          </w:p>
        </w:tc>
        <w:tc>
          <w:tcPr>
            <w:tcW w:w="915" w:type="dxa"/>
            <w:gridSpan w:val="3"/>
            <w:noWrap w:val="0"/>
            <w:vAlign w:val="center"/>
          </w:tcPr>
          <w:p>
            <w:pPr>
              <w:spacing w:line="220" w:lineRule="exact"/>
              <w:ind w:left="-105" w:leftChars="-50" w:right="6" w:firstLine="85" w:firstLineChars="50"/>
              <w:jc w:val="center"/>
              <w:rPr>
                <w:rFonts w:hint="default"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4.8-3</w:t>
            </w:r>
          </w:p>
        </w:tc>
        <w:tc>
          <w:tcPr>
            <w:tcW w:w="3182" w:type="dxa"/>
            <w:gridSpan w:val="2"/>
            <w:noWrap w:val="0"/>
            <w:vAlign w:val="center"/>
          </w:tcPr>
          <w:p>
            <w:pPr>
              <w:spacing w:line="240" w:lineRule="exact"/>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FABF8F"/>
            <w:noWrap w:val="0"/>
            <w:vAlign w:val="center"/>
          </w:tcPr>
          <w:p>
            <w:pPr>
              <w:spacing w:line="220" w:lineRule="exact"/>
              <w:ind w:left="-105" w:leftChars="-50" w:right="6"/>
              <w:rPr>
                <w:rFonts w:hint="eastAsia" w:ascii="黑体" w:hAnsi="黑体" w:eastAsia="黑体" w:cs="黑体"/>
                <w:color w:val="000000"/>
                <w:sz w:val="18"/>
                <w:szCs w:val="18"/>
                <w:lang w:eastAsia="zh-CN"/>
              </w:rPr>
            </w:pPr>
            <w:r>
              <w:rPr>
                <w:rFonts w:hint="eastAsia" w:ascii="黑体" w:hAnsi="黑体" w:eastAsia="黑体" w:cs="黑体"/>
                <w:color w:val="000000"/>
                <w:sz w:val="21"/>
                <w:szCs w:val="21"/>
              </w:rPr>
              <w:t xml:space="preserve"> </w:t>
            </w:r>
            <w:r>
              <w:rPr>
                <w:rFonts w:hint="eastAsia" w:ascii="黑体" w:hAnsi="黑体" w:eastAsia="黑体" w:cs="黑体"/>
                <w:color w:val="000000"/>
                <w:sz w:val="21"/>
                <w:szCs w:val="21"/>
                <w:lang w:val="en-US" w:eastAsia="zh-CN"/>
              </w:rPr>
              <w:t>F</w:t>
            </w:r>
            <w:r>
              <w:rPr>
                <w:rFonts w:hint="eastAsia" w:ascii="黑体" w:hAnsi="黑体" w:eastAsia="黑体" w:cs="黑体"/>
                <w:color w:val="000000"/>
                <w:sz w:val="21"/>
                <w:szCs w:val="21"/>
              </w:rPr>
              <w:t>.</w:t>
            </w:r>
            <w:r>
              <w:rPr>
                <w:rFonts w:hint="eastAsia" w:ascii="黑体" w:hAnsi="黑体" w:eastAsia="黑体" w:cs="黑体"/>
                <w:color w:val="000000"/>
                <w:sz w:val="21"/>
                <w:szCs w:val="21"/>
                <w:lang w:val="en-US" w:eastAsia="zh-CN"/>
              </w:rPr>
              <w:t>条件保障</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rPr>
                <w:rFonts w:hint="eastAsia" w:ascii="黑体" w:hAnsi="黑体" w:eastAsia="黑体" w:cs="黑体"/>
                <w:color w:val="000000"/>
                <w:sz w:val="18"/>
                <w:szCs w:val="18"/>
                <w:lang w:val="en-US" w:eastAsia="zh-CN"/>
              </w:rPr>
            </w:pPr>
            <w:r>
              <w:rPr>
                <w:rFonts w:hint="eastAsia" w:ascii="黑体" w:hAnsi="黑体" w:eastAsia="黑体" w:cs="黑体"/>
                <w:color w:val="000000"/>
                <w:sz w:val="20"/>
                <w:szCs w:val="20"/>
              </w:rPr>
              <w:t xml:space="preserve"> 1</w:t>
            </w:r>
            <w:r>
              <w:rPr>
                <w:rFonts w:hint="eastAsia" w:ascii="黑体" w:hAnsi="黑体" w:eastAsia="黑体" w:cs="黑体"/>
                <w:color w:val="000000"/>
                <w:sz w:val="20"/>
                <w:szCs w:val="20"/>
                <w:lang w:val="en-US" w:eastAsia="zh-CN"/>
              </w:rPr>
              <w:t>队伍保障到位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85"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r>
              <w:rPr>
                <w:rFonts w:hint="eastAsia" w:ascii="黑体" w:hAnsi="黑体" w:eastAsia="黑体" w:cs="黑体"/>
                <w:color w:val="000000"/>
                <w:sz w:val="18"/>
                <w:szCs w:val="18"/>
              </w:rPr>
              <w:t xml:space="preserve"> 1.1</w:t>
            </w:r>
          </w:p>
        </w:tc>
        <w:tc>
          <w:tcPr>
            <w:tcW w:w="4020" w:type="dxa"/>
            <w:noWrap w:val="0"/>
            <w:vAlign w:val="center"/>
          </w:tcPr>
          <w:p>
            <w:pPr>
              <w:spacing w:line="220" w:lineRule="exact"/>
              <w:ind w:left="-20" w:leftChars="-50" w:right="6" w:hanging="85" w:hangingChars="50"/>
              <w:rPr>
                <w:rFonts w:hint="eastAsia" w:ascii="黑体" w:hAnsi="黑体" w:eastAsia="黑体" w:cs="黑体"/>
                <w:color w:val="000000"/>
                <w:sz w:val="18"/>
                <w:szCs w:val="18"/>
              </w:rPr>
            </w:pPr>
            <w:r>
              <w:rPr>
                <w:rFonts w:hint="eastAsia" w:ascii="宋体" w:hAnsi="宋体" w:eastAsia="宋体" w:cs="Times New Roman"/>
                <w:color w:val="000000"/>
                <w:sz w:val="17"/>
                <w:szCs w:val="17"/>
                <w:lang w:val="en-US" w:eastAsia="zh-CN"/>
              </w:rPr>
              <w:t xml:space="preserve"> 根据实际工作需要，科学配置社区专职岗位，选优配强社区专职干部队伍。院系、相关职能部门均明确具体班子成员分管社区建设工作，分管领导在年度述职报告中专项汇报工作落实情况。</w:t>
            </w:r>
          </w:p>
        </w:tc>
        <w:tc>
          <w:tcPr>
            <w:tcW w:w="915" w:type="dxa"/>
            <w:gridSpan w:val="3"/>
            <w:noWrap w:val="0"/>
            <w:vAlign w:val="center"/>
          </w:tcPr>
          <w:p>
            <w:pPr>
              <w:spacing w:line="220" w:lineRule="exact"/>
              <w:ind w:left="-105" w:leftChars="-50" w:right="6"/>
              <w:jc w:val="center"/>
              <w:rPr>
                <w:rFonts w:hint="eastAsia" w:ascii="黑体" w:hAnsi="黑体" w:eastAsia="黑体" w:cs="黑体"/>
                <w:color w:val="000000"/>
                <w:sz w:val="18"/>
                <w:szCs w:val="18"/>
              </w:rPr>
            </w:pPr>
            <w:r>
              <w:rPr>
                <w:rFonts w:hint="eastAsia" w:ascii="黑体" w:hAnsi="黑体" w:eastAsia="黑体" w:cs="黑体"/>
                <w:color w:val="000000"/>
                <w:sz w:val="18"/>
                <w:szCs w:val="18"/>
              </w:rPr>
              <w:t xml:space="preserve"> 1.1-1</w:t>
            </w:r>
          </w:p>
        </w:tc>
        <w:tc>
          <w:tcPr>
            <w:tcW w:w="3182" w:type="dxa"/>
            <w:gridSpan w:val="2"/>
            <w:noWrap w:val="0"/>
            <w:vAlign w:val="center"/>
          </w:tcPr>
          <w:p>
            <w:pPr>
              <w:spacing w:line="220" w:lineRule="exact"/>
              <w:ind w:right="6"/>
              <w:rPr>
                <w:rFonts w:hint="eastAsia" w:ascii="黑体" w:hAnsi="黑体" w:eastAsia="黑体" w:cs="黑体"/>
                <w:color w:val="000000"/>
                <w:sz w:val="18"/>
                <w:szCs w:val="18"/>
              </w:rPr>
            </w:pPr>
          </w:p>
        </w:tc>
        <w:tc>
          <w:tcPr>
            <w:tcW w:w="1063" w:type="dxa"/>
            <w:noWrap w:val="0"/>
            <w:vAlign w:val="center"/>
          </w:tcPr>
          <w:p>
            <w:pPr>
              <w:spacing w:line="220" w:lineRule="exact"/>
              <w:ind w:left="-178" w:leftChars="-85" w:right="-115" w:firstLine="91" w:firstLineChars="51"/>
              <w:jc w:val="center"/>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720" w:hRule="atLeast"/>
          <w:jc w:val="center"/>
        </w:trPr>
        <w:tc>
          <w:tcPr>
            <w:tcW w:w="826" w:type="dxa"/>
            <w:noWrap w:val="0"/>
            <w:vAlign w:val="center"/>
          </w:tcPr>
          <w:p>
            <w:pPr>
              <w:spacing w:line="220" w:lineRule="exact"/>
              <w:ind w:left="-105" w:leftChars="-50" w:right="6" w:rightChars="0" w:firstLine="90" w:firstLineChars="50"/>
              <w:jc w:val="center"/>
              <w:rPr>
                <w:rFonts w:hint="eastAsia" w:ascii="黑体" w:hAnsi="黑体" w:eastAsia="黑体" w:cs="黑体"/>
                <w:color w:val="000000"/>
                <w:kern w:val="2"/>
                <w:sz w:val="18"/>
                <w:szCs w:val="18"/>
                <w:lang w:val="en-US" w:eastAsia="zh-CN" w:bidi="ar-SA"/>
              </w:rPr>
            </w:pPr>
            <w:r>
              <w:rPr>
                <w:rFonts w:hint="eastAsia" w:ascii="黑体" w:hAnsi="黑体" w:eastAsia="黑体" w:cs="黑体"/>
                <w:color w:val="000000"/>
                <w:sz w:val="18"/>
                <w:szCs w:val="18"/>
              </w:rPr>
              <w:t xml:space="preserve"> 1.2</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优化社区育人队伍结构，出台校级社区全员育人管理机制和工作联动指导意见，明确职责分工和角色定位，完善选聘、培训、管理、考核、激励制度，推动各方力量下沉到社区一线。科学合理认定社区育人队伍的工作量，特别是专业教师担任课外辅导员的工作量，整体纳入辅导员队伍建设政策保障体系。</w:t>
            </w:r>
          </w:p>
        </w:tc>
        <w:tc>
          <w:tcPr>
            <w:tcW w:w="915" w:type="dxa"/>
            <w:gridSpan w:val="3"/>
            <w:noWrap w:val="0"/>
            <w:vAlign w:val="center"/>
          </w:tcPr>
          <w:p>
            <w:pPr>
              <w:spacing w:line="220" w:lineRule="exact"/>
              <w:ind w:left="-105" w:leftChars="-50" w:right="6"/>
              <w:jc w:val="center"/>
              <w:rPr>
                <w:rFonts w:hint="eastAsia" w:ascii="黑体" w:hAnsi="黑体" w:eastAsia="黑体" w:cs="黑体"/>
                <w:color w:val="000000"/>
                <w:sz w:val="18"/>
                <w:szCs w:val="18"/>
                <w:lang w:eastAsia="zh-CN"/>
              </w:rPr>
            </w:pPr>
            <w:r>
              <w:rPr>
                <w:rFonts w:hint="eastAsia" w:ascii="黑体" w:hAnsi="黑体" w:eastAsia="黑体" w:cs="黑体"/>
                <w:color w:val="000000"/>
                <w:sz w:val="18"/>
                <w:szCs w:val="18"/>
              </w:rPr>
              <w:t xml:space="preserve"> 1.</w:t>
            </w:r>
            <w:r>
              <w:rPr>
                <w:rFonts w:hint="eastAsia" w:ascii="黑体" w:hAnsi="黑体" w:eastAsia="黑体" w:cs="黑体"/>
                <w:color w:val="000000"/>
                <w:sz w:val="18"/>
                <w:szCs w:val="18"/>
                <w:lang w:val="en-US" w:eastAsia="zh-CN"/>
              </w:rPr>
              <w:t>2</w:t>
            </w:r>
            <w:r>
              <w:rPr>
                <w:rFonts w:hint="eastAsia" w:ascii="黑体" w:hAnsi="黑体" w:eastAsia="黑体" w:cs="黑体"/>
                <w:color w:val="000000"/>
                <w:sz w:val="18"/>
                <w:szCs w:val="18"/>
              </w:rPr>
              <w:t>-</w:t>
            </w:r>
            <w:r>
              <w:rPr>
                <w:rFonts w:hint="eastAsia" w:ascii="黑体" w:hAnsi="黑体" w:eastAsia="黑体" w:cs="黑体"/>
                <w:color w:val="000000"/>
                <w:sz w:val="18"/>
                <w:szCs w:val="18"/>
                <w:lang w:val="en-US" w:eastAsia="zh-CN"/>
              </w:rPr>
              <w:t>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75"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eastAsia="zh-CN"/>
              </w:rPr>
            </w:pPr>
            <w:r>
              <w:rPr>
                <w:rFonts w:hint="eastAsia" w:ascii="黑体" w:hAnsi="黑体" w:eastAsia="黑体" w:cs="黑体"/>
                <w:color w:val="000000"/>
                <w:sz w:val="18"/>
                <w:szCs w:val="18"/>
              </w:rPr>
              <w:t xml:space="preserve"> 1.</w:t>
            </w:r>
            <w:r>
              <w:rPr>
                <w:rFonts w:hint="eastAsia" w:ascii="黑体" w:hAnsi="黑体" w:eastAsia="黑体" w:cs="黑体"/>
                <w:color w:val="000000"/>
                <w:sz w:val="18"/>
                <w:szCs w:val="18"/>
                <w:lang w:val="en-US" w:eastAsia="zh-CN"/>
              </w:rPr>
              <w:t>3</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建立健全社区育人队伍评奖评优制度体系，定期开展各类育人标杆选树、表彰活动，激励社区育人队伍争做学生健康成长的知心朋友和成人成才的人生导师。</w:t>
            </w:r>
          </w:p>
        </w:tc>
        <w:tc>
          <w:tcPr>
            <w:tcW w:w="915" w:type="dxa"/>
            <w:gridSpan w:val="3"/>
            <w:noWrap w:val="0"/>
            <w:vAlign w:val="center"/>
          </w:tcPr>
          <w:p>
            <w:pPr>
              <w:spacing w:line="220" w:lineRule="exact"/>
              <w:ind w:left="-105" w:leftChars="-50" w:right="6"/>
              <w:jc w:val="center"/>
              <w:rPr>
                <w:rFonts w:hint="default" w:ascii="黑体" w:hAnsi="黑体" w:eastAsia="黑体" w:cs="黑体"/>
                <w:color w:val="000000"/>
                <w:sz w:val="18"/>
                <w:szCs w:val="18"/>
                <w:lang w:val="en-US"/>
              </w:rPr>
            </w:pPr>
            <w:r>
              <w:rPr>
                <w:rFonts w:hint="eastAsia" w:ascii="黑体" w:hAnsi="黑体" w:eastAsia="黑体" w:cs="黑体"/>
                <w:color w:val="000000"/>
                <w:sz w:val="18"/>
                <w:szCs w:val="18"/>
              </w:rPr>
              <w:t xml:space="preserve"> 1.</w:t>
            </w:r>
            <w:r>
              <w:rPr>
                <w:rFonts w:hint="eastAsia" w:ascii="黑体" w:hAnsi="黑体" w:eastAsia="黑体" w:cs="黑体"/>
                <w:color w:val="000000"/>
                <w:sz w:val="18"/>
                <w:szCs w:val="18"/>
                <w:lang w:val="en-US" w:eastAsia="zh-CN"/>
              </w:rPr>
              <w:t>3-1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restart"/>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r>
              <w:rPr>
                <w:rFonts w:hint="eastAsia" w:ascii="黑体" w:hAnsi="黑体" w:eastAsia="黑体" w:cs="黑体"/>
                <w:color w:val="000000"/>
                <w:sz w:val="18"/>
                <w:szCs w:val="18"/>
              </w:rPr>
              <w:t xml:space="preserve"> 1.</w:t>
            </w:r>
            <w:r>
              <w:rPr>
                <w:rFonts w:hint="eastAsia" w:ascii="黑体" w:hAnsi="黑体" w:eastAsia="黑体" w:cs="黑体"/>
                <w:color w:val="000000"/>
                <w:sz w:val="18"/>
                <w:szCs w:val="18"/>
                <w:lang w:val="en-US" w:eastAsia="zh-CN"/>
              </w:rPr>
              <w:t>4</w:t>
            </w:r>
          </w:p>
        </w:tc>
        <w:tc>
          <w:tcPr>
            <w:tcW w:w="4020" w:type="dxa"/>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建立健全社区育人队伍负面清单管理制度，强化意识形态工作机制、师德失范处置机制等，常态化开展意识形态教育、师德警示教育，严守底线红线。</w:t>
            </w:r>
          </w:p>
        </w:tc>
        <w:tc>
          <w:tcPr>
            <w:tcW w:w="915" w:type="dxa"/>
            <w:gridSpan w:val="3"/>
            <w:noWrap w:val="0"/>
            <w:vAlign w:val="center"/>
          </w:tcPr>
          <w:p>
            <w:pPr>
              <w:spacing w:line="220" w:lineRule="exact"/>
              <w:ind w:left="-105" w:leftChars="-50" w:right="6"/>
              <w:jc w:val="center"/>
              <w:rPr>
                <w:rFonts w:hint="eastAsia" w:ascii="黑体" w:hAnsi="黑体" w:eastAsia="黑体" w:cs="黑体"/>
                <w:color w:val="000000"/>
                <w:sz w:val="18"/>
                <w:szCs w:val="18"/>
                <w:lang w:eastAsia="zh-CN"/>
              </w:rPr>
            </w:pPr>
            <w:r>
              <w:rPr>
                <w:rFonts w:hint="eastAsia" w:ascii="黑体" w:hAnsi="黑体" w:eastAsia="黑体" w:cs="黑体"/>
                <w:color w:val="000000"/>
                <w:sz w:val="18"/>
                <w:szCs w:val="18"/>
              </w:rPr>
              <w:t xml:space="preserve"> 1.</w:t>
            </w:r>
            <w:r>
              <w:rPr>
                <w:rFonts w:hint="eastAsia" w:ascii="黑体" w:hAnsi="黑体" w:eastAsia="黑体" w:cs="黑体"/>
                <w:color w:val="000000"/>
                <w:sz w:val="18"/>
                <w:szCs w:val="18"/>
                <w:lang w:val="en-US" w:eastAsia="zh-CN"/>
              </w:rPr>
              <w:t>4</w:t>
            </w:r>
            <w:r>
              <w:rPr>
                <w:rFonts w:hint="eastAsia" w:ascii="黑体" w:hAnsi="黑体" w:eastAsia="黑体" w:cs="黑体"/>
                <w:color w:val="000000"/>
                <w:sz w:val="18"/>
                <w:szCs w:val="18"/>
              </w:rPr>
              <w:t>-</w:t>
            </w:r>
            <w:r>
              <w:rPr>
                <w:rFonts w:hint="eastAsia" w:ascii="黑体" w:hAnsi="黑体" w:eastAsia="黑体" w:cs="黑体"/>
                <w:color w:val="000000"/>
                <w:sz w:val="18"/>
                <w:szCs w:val="18"/>
                <w:lang w:val="en-US" w:eastAsia="zh-CN"/>
              </w:rPr>
              <w:t>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20" w:lineRule="exact"/>
              <w:ind w:left="-115" w:leftChars="-55" w:right="-115"/>
              <w:jc w:val="center"/>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jc w:val="center"/>
              <w:rPr>
                <w:rFonts w:hint="eastAsia" w:ascii="黑体" w:hAnsi="黑体" w:eastAsia="黑体" w:cs="黑体"/>
                <w:color w:val="000000"/>
                <w:sz w:val="18"/>
                <w:szCs w:val="18"/>
                <w:lang w:eastAsia="zh-CN"/>
              </w:rPr>
            </w:pPr>
            <w:r>
              <w:rPr>
                <w:rFonts w:hint="eastAsia" w:ascii="黑体" w:hAnsi="黑体" w:eastAsia="黑体" w:cs="黑体"/>
                <w:color w:val="000000"/>
                <w:sz w:val="18"/>
                <w:szCs w:val="18"/>
              </w:rPr>
              <w:t xml:space="preserve"> 1.</w:t>
            </w:r>
            <w:r>
              <w:rPr>
                <w:rFonts w:hint="eastAsia" w:ascii="黑体" w:hAnsi="黑体" w:eastAsia="黑体" w:cs="黑体"/>
                <w:color w:val="000000"/>
                <w:sz w:val="18"/>
                <w:szCs w:val="18"/>
                <w:lang w:val="en-US" w:eastAsia="zh-CN"/>
              </w:rPr>
              <w:t>4</w:t>
            </w:r>
            <w:r>
              <w:rPr>
                <w:rFonts w:hint="eastAsia" w:ascii="黑体" w:hAnsi="黑体" w:eastAsia="黑体" w:cs="黑体"/>
                <w:color w:val="000000"/>
                <w:sz w:val="18"/>
                <w:szCs w:val="18"/>
              </w:rPr>
              <w:t>-</w:t>
            </w:r>
            <w:r>
              <w:rPr>
                <w:rFonts w:hint="eastAsia" w:ascii="黑体" w:hAnsi="黑体" w:eastAsia="黑体" w:cs="黑体"/>
                <w:color w:val="000000"/>
                <w:sz w:val="18"/>
                <w:szCs w:val="18"/>
                <w:lang w:val="en-US" w:eastAsia="zh-CN"/>
              </w:rPr>
              <w:t>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826"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jc w:val="center"/>
              <w:rPr>
                <w:rFonts w:hint="eastAsia" w:ascii="黑体" w:hAnsi="黑体" w:eastAsia="黑体" w:cs="黑体"/>
                <w:color w:val="000000"/>
                <w:sz w:val="18"/>
                <w:szCs w:val="18"/>
                <w:lang w:eastAsia="zh-CN"/>
              </w:rPr>
            </w:pPr>
            <w:r>
              <w:rPr>
                <w:rFonts w:hint="eastAsia" w:ascii="黑体" w:hAnsi="黑体" w:eastAsia="黑体" w:cs="黑体"/>
                <w:color w:val="000000"/>
                <w:sz w:val="18"/>
                <w:szCs w:val="18"/>
              </w:rPr>
              <w:t xml:space="preserve"> 1.</w:t>
            </w:r>
            <w:r>
              <w:rPr>
                <w:rFonts w:hint="eastAsia" w:ascii="黑体" w:hAnsi="黑体" w:eastAsia="黑体" w:cs="黑体"/>
                <w:color w:val="000000"/>
                <w:sz w:val="18"/>
                <w:szCs w:val="18"/>
                <w:lang w:val="en-US" w:eastAsia="zh-CN"/>
              </w:rPr>
              <w:t>4</w:t>
            </w:r>
            <w:r>
              <w:rPr>
                <w:rFonts w:hint="eastAsia" w:ascii="黑体" w:hAnsi="黑体" w:eastAsia="黑体" w:cs="黑体"/>
                <w:color w:val="000000"/>
                <w:sz w:val="18"/>
                <w:szCs w:val="18"/>
              </w:rPr>
              <w:t>-</w:t>
            </w:r>
            <w:r>
              <w:rPr>
                <w:rFonts w:hint="eastAsia" w:ascii="黑体" w:hAnsi="黑体" w:eastAsia="黑体" w:cs="黑体"/>
                <w:color w:val="000000"/>
                <w:sz w:val="18"/>
                <w:szCs w:val="18"/>
                <w:lang w:val="en-US" w:eastAsia="zh-CN"/>
              </w:rPr>
              <w:t>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jc w:val="center"/>
        </w:trPr>
        <w:tc>
          <w:tcPr>
            <w:tcW w:w="826"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jc w:val="center"/>
              <w:rPr>
                <w:rFonts w:hint="eastAsia" w:ascii="黑体" w:hAnsi="黑体" w:eastAsia="黑体" w:cs="黑体"/>
                <w:color w:val="000000"/>
                <w:sz w:val="18"/>
                <w:szCs w:val="18"/>
                <w:lang w:eastAsia="zh-CN"/>
              </w:rPr>
            </w:pPr>
            <w:r>
              <w:rPr>
                <w:rFonts w:hint="eastAsia" w:ascii="黑体" w:hAnsi="黑体" w:eastAsia="黑体" w:cs="黑体"/>
                <w:color w:val="000000"/>
                <w:sz w:val="18"/>
                <w:szCs w:val="18"/>
              </w:rPr>
              <w:t xml:space="preserve"> 1.</w:t>
            </w:r>
            <w:r>
              <w:rPr>
                <w:rFonts w:hint="eastAsia" w:ascii="黑体" w:hAnsi="黑体" w:eastAsia="黑体" w:cs="黑体"/>
                <w:color w:val="000000"/>
                <w:sz w:val="18"/>
                <w:szCs w:val="18"/>
                <w:lang w:val="en-US" w:eastAsia="zh-CN"/>
              </w:rPr>
              <w:t>4</w:t>
            </w:r>
            <w:r>
              <w:rPr>
                <w:rFonts w:hint="eastAsia" w:ascii="黑体" w:hAnsi="黑体" w:eastAsia="黑体" w:cs="黑体"/>
                <w:color w:val="000000"/>
                <w:sz w:val="18"/>
                <w:szCs w:val="18"/>
              </w:rPr>
              <w:t>-</w:t>
            </w:r>
            <w:r>
              <w:rPr>
                <w:rFonts w:hint="eastAsia" w:ascii="黑体" w:hAnsi="黑体" w:eastAsia="黑体" w:cs="黑体"/>
                <w:color w:val="000000"/>
                <w:sz w:val="18"/>
                <w:szCs w:val="18"/>
                <w:lang w:val="en-US" w:eastAsia="zh-CN"/>
              </w:rPr>
              <w:t>4</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20" w:lineRule="exact"/>
              <w:ind w:left="-115" w:leftChars="-55" w:right="6"/>
              <w:jc w:val="center"/>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10006" w:type="dxa"/>
            <w:gridSpan w:val="8"/>
            <w:shd w:val="clear" w:color="auto" w:fill="D6E3BC"/>
            <w:noWrap w:val="0"/>
            <w:vAlign w:val="center"/>
          </w:tcPr>
          <w:p>
            <w:pPr>
              <w:spacing w:line="220" w:lineRule="exact"/>
              <w:ind w:left="-105" w:leftChars="-50" w:right="6" w:firstLine="200" w:firstLineChars="100"/>
              <w:rPr>
                <w:rFonts w:hint="eastAsia" w:ascii="黑体" w:hAnsi="黑体" w:eastAsia="黑体" w:cs="黑体"/>
                <w:color w:val="000000"/>
                <w:sz w:val="18"/>
                <w:szCs w:val="18"/>
              </w:rPr>
            </w:pPr>
            <w:r>
              <w:rPr>
                <w:rFonts w:hint="eastAsia" w:ascii="黑体" w:hAnsi="黑体" w:eastAsia="黑体" w:cs="黑体"/>
                <w:color w:val="000000"/>
                <w:sz w:val="20"/>
                <w:szCs w:val="20"/>
              </w:rPr>
              <w:t>2空间保障到位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652"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eastAsia="zh-CN"/>
              </w:rPr>
            </w:pPr>
            <w:r>
              <w:rPr>
                <w:rFonts w:hint="eastAsia" w:ascii="黑体" w:hAnsi="黑体" w:eastAsia="黑体" w:cs="黑体"/>
                <w:color w:val="000000"/>
                <w:sz w:val="18"/>
                <w:szCs w:val="18"/>
              </w:rPr>
              <w:t>2</w:t>
            </w:r>
            <w:r>
              <w:rPr>
                <w:rFonts w:hint="eastAsia" w:ascii="黑体" w:hAnsi="黑体" w:eastAsia="黑体" w:cs="黑体"/>
                <w:color w:val="000000"/>
                <w:sz w:val="18"/>
                <w:szCs w:val="18"/>
                <w:lang w:val="en-US" w:eastAsia="zh-CN"/>
              </w:rPr>
              <w:t>.5</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在学生社区设置公共空间，基于学校实际和学生需求，整合已有相关资源，配备必要的软硬件设施，满足党团活动、学习研讨、心理团辅、体育锻炼、美育养成、文化交流、生活服务、就业服务等学生德智体美劳全面发展的基本需要。</w:t>
            </w:r>
          </w:p>
        </w:tc>
        <w:tc>
          <w:tcPr>
            <w:tcW w:w="915" w:type="dxa"/>
            <w:gridSpan w:val="3"/>
            <w:noWrap w:val="0"/>
            <w:vAlign w:val="center"/>
          </w:tcPr>
          <w:p>
            <w:pPr>
              <w:spacing w:line="220" w:lineRule="exact"/>
              <w:ind w:left="-105" w:leftChars="-50" w:right="6"/>
              <w:jc w:val="center"/>
              <w:rPr>
                <w:rFonts w:hint="eastAsia" w:ascii="黑体" w:hAnsi="黑体" w:eastAsia="黑体" w:cs="黑体"/>
                <w:color w:val="000000"/>
                <w:sz w:val="18"/>
                <w:szCs w:val="18"/>
              </w:rPr>
            </w:pPr>
            <w:r>
              <w:rPr>
                <w:rFonts w:hint="eastAsia" w:ascii="黑体" w:hAnsi="黑体" w:eastAsia="黑体" w:cs="黑体"/>
                <w:color w:val="000000"/>
                <w:sz w:val="18"/>
                <w:szCs w:val="18"/>
              </w:rPr>
              <w:t xml:space="preserve"> 2.</w:t>
            </w:r>
            <w:r>
              <w:rPr>
                <w:rFonts w:hint="eastAsia" w:ascii="黑体" w:hAnsi="黑体" w:eastAsia="黑体" w:cs="黑体"/>
                <w:color w:val="000000"/>
                <w:sz w:val="18"/>
                <w:szCs w:val="18"/>
                <w:lang w:val="en-US" w:eastAsia="zh-CN"/>
              </w:rPr>
              <w:t>5</w:t>
            </w:r>
            <w:r>
              <w:rPr>
                <w:rFonts w:hint="eastAsia" w:ascii="黑体" w:hAnsi="黑体" w:eastAsia="黑体" w:cs="黑体"/>
                <w:color w:val="000000"/>
                <w:sz w:val="18"/>
                <w:szCs w:val="18"/>
              </w:rPr>
              <w:t>-1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60"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eastAsia="zh-CN"/>
              </w:rPr>
            </w:pPr>
            <w:r>
              <w:rPr>
                <w:rFonts w:hint="eastAsia" w:ascii="黑体" w:hAnsi="黑体" w:eastAsia="黑体" w:cs="黑体"/>
                <w:color w:val="000000"/>
                <w:sz w:val="18"/>
                <w:szCs w:val="18"/>
              </w:rPr>
              <w:t>2.</w:t>
            </w:r>
            <w:r>
              <w:rPr>
                <w:rFonts w:hint="eastAsia" w:ascii="黑体" w:hAnsi="黑体" w:eastAsia="黑体" w:cs="黑体"/>
                <w:color w:val="000000"/>
                <w:sz w:val="18"/>
                <w:szCs w:val="18"/>
                <w:lang w:val="en-US" w:eastAsia="zh-CN"/>
              </w:rPr>
              <w:t>6</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在学生社区设置工作空间，为辅导员提供值班床位和办公场所，为思政课教师、机关干部等各类育人力量下沉学生社区提供办公室、工作室或教师公寓等空间和工作条件，推动全员进驻协同育人。</w:t>
            </w:r>
          </w:p>
        </w:tc>
        <w:tc>
          <w:tcPr>
            <w:tcW w:w="915" w:type="dxa"/>
            <w:gridSpan w:val="3"/>
            <w:noWrap w:val="0"/>
            <w:vAlign w:val="center"/>
          </w:tcPr>
          <w:p>
            <w:pPr>
              <w:spacing w:line="220" w:lineRule="exact"/>
              <w:ind w:right="6"/>
              <w:rPr>
                <w:rFonts w:hint="eastAsia" w:ascii="黑体" w:hAnsi="黑体" w:eastAsia="黑体" w:cs="黑体"/>
                <w:color w:val="000000"/>
                <w:sz w:val="18"/>
                <w:szCs w:val="18"/>
              </w:rPr>
            </w:pPr>
            <w:r>
              <w:rPr>
                <w:rFonts w:hint="eastAsia" w:ascii="黑体" w:hAnsi="黑体" w:eastAsia="黑体" w:cs="黑体"/>
                <w:color w:val="000000"/>
                <w:sz w:val="18"/>
                <w:szCs w:val="18"/>
              </w:rPr>
              <w:t>2.</w:t>
            </w:r>
            <w:r>
              <w:rPr>
                <w:rFonts w:hint="eastAsia" w:ascii="黑体" w:hAnsi="黑体" w:eastAsia="黑体" w:cs="黑体"/>
                <w:color w:val="000000"/>
                <w:sz w:val="18"/>
                <w:szCs w:val="18"/>
                <w:lang w:val="en-US" w:eastAsia="zh-CN"/>
              </w:rPr>
              <w:t>6</w:t>
            </w:r>
            <w:r>
              <w:rPr>
                <w:rFonts w:hint="eastAsia" w:ascii="黑体" w:hAnsi="黑体" w:eastAsia="黑体" w:cs="黑体"/>
                <w:color w:val="000000"/>
                <w:sz w:val="18"/>
                <w:szCs w:val="18"/>
              </w:rPr>
              <w:t>-1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101" w:firstLine="170" w:firstLineChars="100"/>
              <w:rPr>
                <w:rFonts w:hint="eastAsia" w:ascii="宋体" w:hAnsi="宋体" w:eastAsia="宋体" w:cs="Times New Roman"/>
                <w:color w:val="000000"/>
                <w:sz w:val="17"/>
                <w:szCs w:val="17"/>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60"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eastAsia="zh-CN"/>
              </w:rPr>
            </w:pPr>
            <w:r>
              <w:rPr>
                <w:rFonts w:hint="eastAsia" w:ascii="黑体" w:hAnsi="黑体" w:eastAsia="黑体" w:cs="黑体"/>
                <w:color w:val="000000"/>
                <w:sz w:val="18"/>
                <w:szCs w:val="18"/>
              </w:rPr>
              <w:t>2.</w:t>
            </w:r>
            <w:r>
              <w:rPr>
                <w:rFonts w:hint="eastAsia" w:ascii="黑体" w:hAnsi="黑体" w:eastAsia="黑体" w:cs="黑体"/>
                <w:color w:val="000000"/>
                <w:sz w:val="18"/>
                <w:szCs w:val="18"/>
                <w:lang w:val="en-US" w:eastAsia="zh-CN"/>
              </w:rPr>
              <w:t>7</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强化社区空间治安、消防、交通、公共卫生等基础设施的运行保障和更新维护，推动平安社区建设。</w:t>
            </w:r>
          </w:p>
        </w:tc>
        <w:tc>
          <w:tcPr>
            <w:tcW w:w="915" w:type="dxa"/>
            <w:gridSpan w:val="3"/>
            <w:noWrap w:val="0"/>
            <w:vAlign w:val="center"/>
          </w:tcPr>
          <w:p>
            <w:pPr>
              <w:spacing w:line="220" w:lineRule="exact"/>
              <w:ind w:right="6"/>
              <w:rPr>
                <w:rFonts w:hint="eastAsia" w:ascii="黑体" w:hAnsi="黑体" w:eastAsia="黑体" w:cs="黑体"/>
                <w:color w:val="000000"/>
                <w:sz w:val="18"/>
                <w:szCs w:val="18"/>
                <w:lang w:val="en-US" w:eastAsia="zh-CN"/>
              </w:rPr>
            </w:pPr>
            <w:r>
              <w:rPr>
                <w:rFonts w:hint="eastAsia" w:ascii="黑体" w:hAnsi="黑体" w:eastAsia="黑体" w:cs="黑体"/>
                <w:color w:val="000000"/>
                <w:sz w:val="18"/>
                <w:szCs w:val="18"/>
              </w:rPr>
              <w:t>2.</w:t>
            </w:r>
            <w:r>
              <w:rPr>
                <w:rFonts w:hint="eastAsia" w:ascii="黑体" w:hAnsi="黑体" w:eastAsia="黑体" w:cs="黑体"/>
                <w:color w:val="000000"/>
                <w:sz w:val="18"/>
                <w:szCs w:val="18"/>
                <w:lang w:val="en-US" w:eastAsia="zh-CN"/>
              </w:rPr>
              <w:t>7</w:t>
            </w:r>
            <w:r>
              <w:rPr>
                <w:rFonts w:hint="eastAsia" w:ascii="黑体" w:hAnsi="黑体" w:eastAsia="黑体" w:cs="黑体"/>
                <w:color w:val="000000"/>
                <w:sz w:val="18"/>
                <w:szCs w:val="18"/>
              </w:rPr>
              <w:t>-1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60"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eastAsia="zh-CN"/>
              </w:rPr>
            </w:pPr>
            <w:r>
              <w:rPr>
                <w:rFonts w:hint="eastAsia" w:ascii="黑体" w:hAnsi="黑体" w:eastAsia="黑体" w:cs="黑体"/>
                <w:color w:val="000000"/>
                <w:sz w:val="18"/>
                <w:szCs w:val="18"/>
              </w:rPr>
              <w:t>2.</w:t>
            </w:r>
            <w:r>
              <w:rPr>
                <w:rFonts w:hint="eastAsia" w:ascii="黑体" w:hAnsi="黑体" w:eastAsia="黑体" w:cs="黑体"/>
                <w:color w:val="000000"/>
                <w:sz w:val="18"/>
                <w:szCs w:val="18"/>
                <w:lang w:val="en-US" w:eastAsia="zh-CN"/>
              </w:rPr>
              <w:t>8</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构建网络社区空间，实现线上线下资源协同，精准对接学生成长需求提供“一站式”便捷服务；建好用好校内外新媒体平台，全方位展示社区师生风采，及时总结提炼工作经验与成果。</w:t>
            </w:r>
          </w:p>
        </w:tc>
        <w:tc>
          <w:tcPr>
            <w:tcW w:w="915" w:type="dxa"/>
            <w:gridSpan w:val="3"/>
            <w:noWrap w:val="0"/>
            <w:vAlign w:val="center"/>
          </w:tcPr>
          <w:p>
            <w:pPr>
              <w:spacing w:line="220" w:lineRule="exact"/>
              <w:ind w:right="6"/>
              <w:rPr>
                <w:rFonts w:hint="default" w:ascii="黑体" w:hAnsi="黑体" w:eastAsia="黑体" w:cs="黑体"/>
                <w:color w:val="000000"/>
                <w:sz w:val="18"/>
                <w:szCs w:val="18"/>
                <w:lang w:val="en-US" w:eastAsia="zh-CN"/>
              </w:rPr>
            </w:pPr>
            <w:r>
              <w:rPr>
                <w:rFonts w:hint="eastAsia" w:ascii="黑体" w:hAnsi="黑体" w:eastAsia="黑体" w:cs="黑体"/>
                <w:color w:val="000000"/>
                <w:sz w:val="18"/>
                <w:szCs w:val="18"/>
                <w:lang w:val="en-US" w:eastAsia="zh-CN"/>
              </w:rPr>
              <w:t>2.8-1</w:t>
            </w:r>
          </w:p>
        </w:tc>
        <w:tc>
          <w:tcPr>
            <w:tcW w:w="3182" w:type="dxa"/>
            <w:gridSpan w:val="2"/>
            <w:noWrap w:val="0"/>
            <w:vAlign w:val="center"/>
          </w:tcPr>
          <w:p>
            <w:pPr>
              <w:spacing w:line="220" w:lineRule="exact"/>
              <w:ind w:left="-105" w:leftChars="-50" w:right="6" w:firstLine="85" w:firstLineChars="50"/>
              <w:rPr>
                <w:rFonts w:hint="default"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D6E3BC"/>
            <w:noWrap w:val="0"/>
            <w:vAlign w:val="center"/>
          </w:tcPr>
          <w:p>
            <w:pPr>
              <w:spacing w:line="220" w:lineRule="exact"/>
              <w:ind w:left="-105" w:leftChars="-50" w:right="6" w:firstLine="200" w:firstLineChars="100"/>
              <w:rPr>
                <w:rFonts w:hint="eastAsia" w:ascii="黑体" w:hAnsi="黑体" w:eastAsia="黑体" w:cs="黑体"/>
                <w:color w:val="000000"/>
                <w:sz w:val="18"/>
                <w:szCs w:val="18"/>
              </w:rPr>
            </w:pPr>
            <w:r>
              <w:rPr>
                <w:rFonts w:hint="eastAsia" w:ascii="黑体" w:hAnsi="黑体" w:eastAsia="黑体" w:cs="黑体"/>
                <w:color w:val="000000"/>
                <w:sz w:val="20"/>
                <w:szCs w:val="20"/>
              </w:rPr>
              <w:t>3经费保障到位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5"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eastAsia="zh-CN"/>
              </w:rPr>
            </w:pPr>
            <w:r>
              <w:rPr>
                <w:rFonts w:hint="eastAsia" w:ascii="黑体" w:hAnsi="黑体" w:eastAsia="黑体" w:cs="黑体"/>
                <w:color w:val="000000"/>
                <w:sz w:val="18"/>
                <w:szCs w:val="18"/>
              </w:rPr>
              <w:t>3.</w:t>
            </w:r>
            <w:r>
              <w:rPr>
                <w:rFonts w:hint="eastAsia" w:ascii="黑体" w:hAnsi="黑体" w:eastAsia="黑体" w:cs="黑体"/>
                <w:color w:val="000000"/>
                <w:sz w:val="18"/>
                <w:szCs w:val="18"/>
                <w:lang w:val="en-US" w:eastAsia="zh-CN"/>
              </w:rPr>
              <w:t>9</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专项设置学生社区建设发展经费预算，列入学校年度预算计划并及时划拨。</w:t>
            </w:r>
          </w:p>
        </w:tc>
        <w:tc>
          <w:tcPr>
            <w:tcW w:w="915" w:type="dxa"/>
            <w:gridSpan w:val="3"/>
            <w:noWrap w:val="0"/>
            <w:vAlign w:val="center"/>
          </w:tcPr>
          <w:p>
            <w:pPr>
              <w:spacing w:line="220" w:lineRule="exact"/>
              <w:ind w:left="-105" w:leftChars="-50" w:right="6" w:rightChars="0" w:firstLine="90" w:firstLineChars="50"/>
              <w:jc w:val="center"/>
              <w:rPr>
                <w:rFonts w:hint="eastAsia" w:ascii="黑体" w:hAnsi="黑体" w:eastAsia="黑体" w:cs="黑体"/>
                <w:color w:val="000000"/>
                <w:kern w:val="2"/>
                <w:sz w:val="18"/>
                <w:szCs w:val="18"/>
                <w:lang w:val="en-US" w:eastAsia="zh-CN" w:bidi="ar-SA"/>
              </w:rPr>
            </w:pPr>
            <w:r>
              <w:rPr>
                <w:rFonts w:hint="eastAsia" w:ascii="黑体" w:hAnsi="黑体" w:eastAsia="黑体" w:cs="黑体"/>
                <w:color w:val="000000"/>
                <w:sz w:val="18"/>
                <w:szCs w:val="18"/>
              </w:rPr>
              <w:t>3.</w:t>
            </w:r>
            <w:r>
              <w:rPr>
                <w:rFonts w:hint="eastAsia" w:ascii="黑体" w:hAnsi="黑体" w:eastAsia="黑体" w:cs="黑体"/>
                <w:color w:val="000000"/>
                <w:sz w:val="18"/>
                <w:szCs w:val="18"/>
                <w:lang w:val="en-US" w:eastAsia="zh-CN"/>
              </w:rPr>
              <w:t>9-1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115"/>
              <w:jc w:val="center"/>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80"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eastAsia="zh-CN"/>
              </w:rPr>
            </w:pPr>
            <w:r>
              <w:rPr>
                <w:rFonts w:hint="eastAsia" w:ascii="黑体" w:hAnsi="黑体" w:eastAsia="黑体" w:cs="黑体"/>
                <w:color w:val="000000"/>
                <w:sz w:val="18"/>
                <w:szCs w:val="18"/>
              </w:rPr>
              <w:t>3.</w:t>
            </w:r>
            <w:r>
              <w:rPr>
                <w:rFonts w:hint="eastAsia" w:ascii="黑体" w:hAnsi="黑体" w:eastAsia="黑体" w:cs="黑体"/>
                <w:color w:val="000000"/>
                <w:sz w:val="18"/>
                <w:szCs w:val="18"/>
                <w:lang w:val="en-US" w:eastAsia="zh-CN"/>
              </w:rPr>
              <w:t>10</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每年投入一定资金保障基础设施运行维护和基本管理服务工作，保障环境营造、宣传赋能、家园凝聚力建设等各项社区育人活动等有序开展。</w:t>
            </w:r>
          </w:p>
        </w:tc>
        <w:tc>
          <w:tcPr>
            <w:tcW w:w="915" w:type="dxa"/>
            <w:gridSpan w:val="3"/>
            <w:noWrap w:val="0"/>
            <w:vAlign w:val="center"/>
          </w:tcPr>
          <w:p>
            <w:pPr>
              <w:spacing w:line="220" w:lineRule="exact"/>
              <w:ind w:right="6"/>
              <w:rPr>
                <w:rFonts w:hint="eastAsia" w:ascii="黑体" w:hAnsi="黑体" w:eastAsia="黑体" w:cs="黑体"/>
                <w:color w:val="000000"/>
                <w:sz w:val="18"/>
                <w:szCs w:val="18"/>
                <w:lang w:val="en-US" w:eastAsia="zh-CN"/>
              </w:rPr>
            </w:pPr>
            <w:r>
              <w:rPr>
                <w:rFonts w:hint="eastAsia" w:ascii="黑体" w:hAnsi="黑体" w:eastAsia="黑体" w:cs="黑体"/>
                <w:color w:val="000000"/>
                <w:sz w:val="18"/>
                <w:szCs w:val="18"/>
              </w:rPr>
              <w:t>3.</w:t>
            </w:r>
            <w:r>
              <w:rPr>
                <w:rFonts w:hint="eastAsia" w:ascii="黑体" w:hAnsi="黑体" w:eastAsia="黑体" w:cs="黑体"/>
                <w:color w:val="000000"/>
                <w:sz w:val="18"/>
                <w:szCs w:val="18"/>
                <w:lang w:val="en-US" w:eastAsia="zh-CN"/>
              </w:rPr>
              <w:t>10-1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115"/>
              <w:jc w:val="center"/>
              <w:rPr>
                <w:rFonts w:hint="eastAsia" w:ascii="黑体" w:hAnsi="黑体" w:eastAsia="黑体" w:cs="黑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C2D69B"/>
            <w:noWrap w:val="0"/>
            <w:vAlign w:val="center"/>
          </w:tcPr>
          <w:p>
            <w:pPr>
              <w:spacing w:line="220" w:lineRule="exact"/>
              <w:ind w:left="-105" w:leftChars="-50" w:right="6" w:rightChars="0"/>
              <w:rPr>
                <w:rFonts w:hint="eastAsia" w:ascii="黑体" w:hAnsi="黑体" w:eastAsia="黑体" w:cs="黑体"/>
                <w:color w:val="000000"/>
                <w:kern w:val="2"/>
                <w:sz w:val="18"/>
                <w:szCs w:val="18"/>
                <w:lang w:val="en-US" w:eastAsia="zh-CN" w:bidi="ar-SA"/>
              </w:rPr>
            </w:pPr>
            <w:r>
              <w:rPr>
                <w:rFonts w:hint="eastAsia" w:ascii="黑体" w:hAnsi="黑体" w:eastAsia="黑体" w:cs="黑体"/>
                <w:color w:val="000000"/>
                <w:sz w:val="20"/>
                <w:szCs w:val="20"/>
              </w:rPr>
              <w:t xml:space="preserve"> </w:t>
            </w:r>
            <w:r>
              <w:rPr>
                <w:rFonts w:hint="eastAsia" w:ascii="黑体" w:hAnsi="黑体" w:eastAsia="黑体" w:cs="黑体"/>
                <w:color w:val="000000"/>
                <w:sz w:val="20"/>
                <w:szCs w:val="20"/>
                <w:lang w:val="en-US" w:eastAsia="zh-CN"/>
              </w:rPr>
              <w:t>4队伍保障到位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20"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rPr>
            </w:pPr>
            <w:r>
              <w:rPr>
                <w:rFonts w:hint="eastAsia" w:ascii="黑体" w:hAnsi="黑体" w:eastAsia="黑体" w:cs="黑体"/>
                <w:color w:val="000000"/>
                <w:sz w:val="18"/>
                <w:szCs w:val="18"/>
              </w:rPr>
              <w:t xml:space="preserve"> </w:t>
            </w:r>
            <w:r>
              <w:rPr>
                <w:rFonts w:hint="eastAsia" w:ascii="黑体" w:hAnsi="黑体" w:eastAsia="黑体" w:cs="黑体"/>
                <w:color w:val="000000"/>
                <w:sz w:val="18"/>
                <w:szCs w:val="18"/>
                <w:lang w:val="en-US" w:eastAsia="zh-CN"/>
              </w:rPr>
              <w:t>4.11</w:t>
            </w:r>
          </w:p>
        </w:tc>
        <w:tc>
          <w:tcPr>
            <w:tcW w:w="4020" w:type="dxa"/>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建立清晰高效的组织架构、协同工作机制和应急处置机制，定期召开部门联席会议研判解决各类问题。</w:t>
            </w:r>
          </w:p>
        </w:tc>
        <w:tc>
          <w:tcPr>
            <w:tcW w:w="915" w:type="dxa"/>
            <w:gridSpan w:val="3"/>
            <w:noWrap w:val="0"/>
            <w:vAlign w:val="center"/>
          </w:tcPr>
          <w:p>
            <w:pPr>
              <w:spacing w:line="220" w:lineRule="exact"/>
              <w:ind w:right="6"/>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4.11-1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r>
              <w:rPr>
                <w:rFonts w:hint="eastAsia" w:ascii="黑体" w:hAnsi="黑体" w:eastAsia="黑体" w:cs="黑体"/>
                <w:color w:val="000000"/>
                <w:sz w:val="18"/>
                <w:szCs w:val="18"/>
                <w:lang w:val="en-US" w:eastAsia="zh-CN"/>
              </w:rPr>
              <w:t>4.12</w:t>
            </w:r>
          </w:p>
        </w:tc>
        <w:tc>
          <w:tcPr>
            <w:tcW w:w="4020" w:type="dxa"/>
            <w:vMerge w:val="restart"/>
            <w:noWrap w:val="0"/>
            <w:vAlign w:val="center"/>
          </w:tcPr>
          <w:p>
            <w:pPr>
              <w:spacing w:line="220" w:lineRule="exact"/>
              <w:ind w:left="-20" w:leftChars="-50" w:right="6" w:hanging="85" w:hanging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对接学校已有的学生培养和思想政治教育工作制度，制定并定期修订完善社区育人各项规章制度，包括学生管理规定、服务流程标准、协调联络机制等，确保社区运行有章可循、有据可依。</w:t>
            </w: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4.12-1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40" w:lineRule="exact"/>
              <w:ind w:right="-115" w:firstLine="105" w:firstLineChars="50"/>
              <w:rPr>
                <w:rFonts w:hint="eastAsia"/>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right="6"/>
              <w:jc w:val="both"/>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4.12-2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b/>
                <w:bCs/>
                <w:color w:val="000000"/>
                <w:sz w:val="18"/>
                <w:szCs w:val="18"/>
                <w:lang w:val="en-US"/>
              </w:rPr>
            </w:pPr>
            <w:r>
              <w:rPr>
                <w:rFonts w:hint="eastAsia" w:ascii="黑体" w:hAnsi="黑体" w:eastAsia="黑体" w:cs="黑体"/>
                <w:color w:val="000000"/>
                <w:sz w:val="18"/>
                <w:szCs w:val="18"/>
                <w:lang w:val="en-US" w:eastAsia="zh-CN"/>
              </w:rPr>
              <w:t>4.12-3</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b/>
                <w:bCs/>
                <w:color w:val="000000"/>
                <w:sz w:val="18"/>
                <w:szCs w:val="18"/>
                <w:lang w:val="en-US"/>
              </w:rPr>
            </w:pPr>
            <w:r>
              <w:rPr>
                <w:rFonts w:hint="eastAsia" w:ascii="黑体" w:hAnsi="黑体" w:eastAsia="黑体" w:cs="黑体"/>
                <w:color w:val="000000"/>
                <w:sz w:val="18"/>
                <w:szCs w:val="18"/>
                <w:lang w:val="en-US" w:eastAsia="zh-CN"/>
              </w:rPr>
              <w:t>4.12-4</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4.12-5</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b w:val="0"/>
                <w:bCs w:val="0"/>
                <w:color w:val="000000"/>
                <w:sz w:val="18"/>
                <w:szCs w:val="18"/>
                <w:lang w:val="en-US"/>
              </w:rPr>
            </w:pPr>
            <w:r>
              <w:rPr>
                <w:rFonts w:hint="eastAsia" w:ascii="黑体" w:hAnsi="黑体" w:eastAsia="黑体" w:cs="黑体"/>
                <w:color w:val="000000"/>
                <w:sz w:val="18"/>
                <w:szCs w:val="18"/>
                <w:lang w:val="en-US" w:eastAsia="zh-CN"/>
              </w:rPr>
              <w:t>4.12-6</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b/>
                <w:bCs/>
                <w:color w:val="0000FF"/>
                <w:sz w:val="18"/>
                <w:szCs w:val="18"/>
                <w:lang w:val="en-US"/>
              </w:rPr>
            </w:pPr>
            <w:r>
              <w:rPr>
                <w:rFonts w:hint="eastAsia" w:ascii="黑体" w:hAnsi="黑体" w:eastAsia="黑体" w:cs="黑体"/>
                <w:color w:val="000000"/>
                <w:sz w:val="18"/>
                <w:szCs w:val="18"/>
                <w:lang w:val="en-US" w:eastAsia="zh-CN"/>
              </w:rPr>
              <w:t>4.12-7</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4.12-8</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75"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4.13</w:t>
            </w:r>
          </w:p>
        </w:tc>
        <w:tc>
          <w:tcPr>
            <w:tcW w:w="4020" w:type="dxa"/>
            <w:noWrap w:val="0"/>
            <w:vAlign w:val="center"/>
          </w:tcPr>
          <w:p>
            <w:pPr>
              <w:spacing w:line="220" w:lineRule="exact"/>
              <w:ind w:left="-105" w:leftChars="-50" w:right="6" w:firstLine="85" w:firstLineChars="50"/>
              <w:rPr>
                <w:rFonts w:hint="eastAsia" w:ascii="黑体" w:hAnsi="黑体" w:eastAsia="黑体" w:cs="黑体"/>
                <w:color w:val="000000"/>
                <w:sz w:val="18"/>
                <w:szCs w:val="18"/>
              </w:rPr>
            </w:pPr>
            <w:r>
              <w:rPr>
                <w:rFonts w:hint="eastAsia" w:ascii="宋体" w:hAnsi="宋体" w:eastAsia="宋体" w:cs="Times New Roman"/>
                <w:color w:val="000000"/>
                <w:sz w:val="17"/>
                <w:szCs w:val="17"/>
                <w:lang w:val="en-US" w:eastAsia="zh-CN"/>
              </w:rPr>
              <w:t>建立健全服务质量监控体系，定期开展满意度评价，对各项管理服务质量进行评级和改进，确保社区建设高质量发展。</w:t>
            </w:r>
          </w:p>
        </w:tc>
        <w:tc>
          <w:tcPr>
            <w:tcW w:w="915" w:type="dxa"/>
            <w:gridSpan w:val="3"/>
            <w:noWrap w:val="0"/>
            <w:vAlign w:val="center"/>
          </w:tcPr>
          <w:p>
            <w:pPr>
              <w:spacing w:line="220" w:lineRule="exact"/>
              <w:ind w:left="-105" w:leftChars="-50" w:right="6" w:firstLine="90" w:firstLineChars="50"/>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4.13-1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restart"/>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4.14</w:t>
            </w:r>
          </w:p>
        </w:tc>
        <w:tc>
          <w:tcPr>
            <w:tcW w:w="4020" w:type="dxa"/>
            <w:vMerge w:val="restart"/>
            <w:noWrap w:val="0"/>
            <w:vAlign w:val="center"/>
          </w:tcPr>
          <w:p>
            <w:pPr>
              <w:spacing w:line="220" w:lineRule="exact"/>
              <w:ind w:left="-105" w:leftChars="-50" w:right="6" w:firstLine="85" w:firstLineChars="50"/>
              <w:rPr>
                <w:rFonts w:hint="eastAsia" w:ascii="黑体" w:hAnsi="黑体" w:eastAsia="黑体" w:cs="黑体"/>
                <w:color w:val="000000"/>
                <w:sz w:val="18"/>
                <w:szCs w:val="18"/>
              </w:rPr>
            </w:pPr>
            <w:r>
              <w:rPr>
                <w:rFonts w:hint="eastAsia" w:ascii="宋体" w:hAnsi="宋体" w:eastAsia="宋体" w:cs="Times New Roman"/>
                <w:color w:val="000000"/>
                <w:sz w:val="17"/>
                <w:szCs w:val="17"/>
                <w:lang w:val="en-US" w:eastAsia="zh-CN"/>
              </w:rPr>
              <w:t>建立有效的师生诉求处理机制，及时收集和处理社区工作队伍和学生的意见和建议，高效率实现“接诉即办”，针对问题集中的方面进行专项整改和优化，增强师生对社区的归属感和满意度。</w:t>
            </w:r>
          </w:p>
        </w:tc>
        <w:tc>
          <w:tcPr>
            <w:tcW w:w="915" w:type="dxa"/>
            <w:gridSpan w:val="3"/>
            <w:noWrap w:val="0"/>
            <w:vAlign w:val="center"/>
          </w:tcPr>
          <w:p>
            <w:pPr>
              <w:spacing w:line="220" w:lineRule="exact"/>
              <w:ind w:left="-105" w:leftChars="-50" w:right="6" w:firstLine="90" w:firstLineChars="50"/>
              <w:rPr>
                <w:rFonts w:hint="default"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4.14-1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restart"/>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rPr>
            </w:pP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default" w:ascii="黑体" w:hAnsi="黑体" w:eastAsia="黑体" w:cs="黑体"/>
                <w:color w:val="000000"/>
                <w:sz w:val="18"/>
                <w:szCs w:val="18"/>
                <w:lang w:val="en-US" w:eastAsia="zh-CN"/>
              </w:rPr>
            </w:pPr>
            <w:r>
              <w:rPr>
                <w:rFonts w:hint="eastAsia" w:ascii="黑体" w:hAnsi="黑体" w:eastAsia="黑体" w:cs="黑体"/>
                <w:color w:val="000000"/>
                <w:sz w:val="18"/>
                <w:szCs w:val="18"/>
                <w:lang w:val="en-US" w:eastAsia="zh-CN"/>
              </w:rPr>
              <w:t>4.14-2</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826" w:type="dxa"/>
            <w:vMerge w:val="continue"/>
            <w:noWrap w:val="0"/>
            <w:vAlign w:val="center"/>
          </w:tcPr>
          <w:p>
            <w:pPr>
              <w:spacing w:line="220" w:lineRule="exact"/>
              <w:ind w:left="-105" w:leftChars="-50" w:right="6" w:firstLine="90" w:firstLineChars="50"/>
              <w:jc w:val="center"/>
              <w:rPr>
                <w:rFonts w:hint="default" w:ascii="黑体" w:hAnsi="黑体" w:eastAsia="黑体" w:cs="黑体"/>
                <w:color w:val="000000"/>
                <w:sz w:val="18"/>
                <w:szCs w:val="18"/>
                <w:lang w:val="en-US" w:eastAsia="zh-CN"/>
              </w:rPr>
            </w:pPr>
            <w:r>
              <w:rPr>
                <w:rFonts w:hint="eastAsia" w:ascii="黑体" w:hAnsi="黑体" w:eastAsia="黑体" w:cs="黑体"/>
                <w:color w:val="000000"/>
                <w:sz w:val="18"/>
                <w:szCs w:val="18"/>
                <w:lang w:eastAsia="zh-CN"/>
              </w:rPr>
              <w:t>-</w:t>
            </w:r>
            <w:r>
              <w:rPr>
                <w:rFonts w:hint="eastAsia" w:ascii="黑体" w:hAnsi="黑体" w:eastAsia="黑体" w:cs="黑体"/>
                <w:color w:val="000000"/>
                <w:sz w:val="18"/>
                <w:szCs w:val="18"/>
                <w:lang w:val="en-US" w:eastAsia="zh-CN"/>
              </w:rPr>
              <w:t>1</w:t>
            </w:r>
          </w:p>
        </w:tc>
        <w:tc>
          <w:tcPr>
            <w:tcW w:w="4020" w:type="dxa"/>
            <w:vMerge w:val="continue"/>
            <w:noWrap w:val="0"/>
            <w:vAlign w:val="center"/>
          </w:tcPr>
          <w:p>
            <w:pPr>
              <w:spacing w:line="220" w:lineRule="exact"/>
              <w:ind w:left="-105" w:leftChars="-50" w:right="6" w:firstLine="90" w:firstLineChars="50"/>
              <w:rPr>
                <w:rFonts w:hint="eastAsia" w:ascii="黑体" w:hAnsi="黑体" w:eastAsia="黑体" w:cs="黑体"/>
                <w:color w:val="000000"/>
                <w:sz w:val="18"/>
                <w:szCs w:val="18"/>
              </w:rPr>
            </w:pPr>
          </w:p>
        </w:tc>
        <w:tc>
          <w:tcPr>
            <w:tcW w:w="915" w:type="dxa"/>
            <w:gridSpan w:val="3"/>
            <w:noWrap w:val="0"/>
            <w:vAlign w:val="center"/>
          </w:tcPr>
          <w:p>
            <w:pPr>
              <w:spacing w:line="220" w:lineRule="exact"/>
              <w:ind w:left="-105" w:leftChars="-50" w:right="6" w:firstLine="90" w:firstLineChars="50"/>
              <w:rPr>
                <w:rFonts w:hint="default"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4.14-3</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vMerge w:val="continue"/>
            <w:noWrap w:val="0"/>
            <w:vAlign w:val="center"/>
          </w:tcPr>
          <w:p>
            <w:pPr>
              <w:spacing w:line="240" w:lineRule="exact"/>
              <w:ind w:right="-115" w:firstLine="90" w:firstLineChars="50"/>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0006" w:type="dxa"/>
            <w:gridSpan w:val="8"/>
            <w:shd w:val="clear" w:color="auto" w:fill="C2D69B"/>
            <w:noWrap w:val="0"/>
            <w:vAlign w:val="center"/>
          </w:tcPr>
          <w:p>
            <w:pPr>
              <w:tabs>
                <w:tab w:val="left" w:pos="1705"/>
              </w:tabs>
              <w:spacing w:line="220" w:lineRule="exact"/>
              <w:ind w:left="-115" w:leftChars="-55" w:right="6" w:firstLine="200" w:firstLineChars="100"/>
              <w:jc w:val="both"/>
              <w:rPr>
                <w:rFonts w:hint="eastAsia" w:ascii="黑体" w:hAnsi="黑体" w:eastAsia="黑体" w:cs="黑体"/>
                <w:color w:val="auto"/>
                <w:sz w:val="18"/>
                <w:szCs w:val="18"/>
                <w:lang w:val="en-US" w:eastAsia="zh-CN"/>
              </w:rPr>
            </w:pPr>
            <w:r>
              <w:rPr>
                <w:rFonts w:hint="eastAsia" w:ascii="黑体" w:hAnsi="黑体" w:eastAsia="黑体" w:cs="黑体"/>
                <w:color w:val="auto"/>
                <w:sz w:val="20"/>
                <w:szCs w:val="20"/>
                <w:highlight w:val="none"/>
                <w:lang w:val="en-US" w:eastAsia="zh-CN"/>
              </w:rPr>
              <w:t>5.高品质国际化社区保障</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05"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5.15</w:t>
            </w:r>
          </w:p>
        </w:tc>
        <w:tc>
          <w:tcPr>
            <w:tcW w:w="4020" w:type="dxa"/>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紧紧围绕学生日常学习生活休闲所需，打造功能齐全、设备先进、充足可及的公共物理空间，充分满足学生阅读、研讨、咨询、展示、健身、休闲等需求，高标准建设社区软硬件环境，实现社区育人功能在人员、时空等方面全覆盖。</w:t>
            </w:r>
          </w:p>
        </w:tc>
        <w:tc>
          <w:tcPr>
            <w:tcW w:w="915" w:type="dxa"/>
            <w:gridSpan w:val="3"/>
            <w:noWrap w:val="0"/>
            <w:vAlign w:val="center"/>
          </w:tcPr>
          <w:p>
            <w:pPr>
              <w:spacing w:line="220" w:lineRule="exact"/>
              <w:ind w:left="-105" w:leftChars="-50" w:right="6" w:firstLine="90" w:firstLineChars="50"/>
              <w:rPr>
                <w:rFonts w:hint="default"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5.15-1</w:t>
            </w:r>
          </w:p>
        </w:tc>
        <w:tc>
          <w:tcPr>
            <w:tcW w:w="3182" w:type="dxa"/>
            <w:gridSpan w:val="2"/>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黑体" w:hAnsi="黑体" w:eastAsia="黑体" w:cs="黑体"/>
                <w:color w:val="000000"/>
                <w:sz w:val="18"/>
                <w:szCs w:val="1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40"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5.16</w:t>
            </w:r>
          </w:p>
        </w:tc>
        <w:tc>
          <w:tcPr>
            <w:tcW w:w="4020" w:type="dxa"/>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立足中国高等教育实际，融合世界先进教育理念，引入全球优质资源，配备高水准国际化工作队伍，构建等质同效的“双向国际化”模式，培养具备国际视野和全球胜任力的高水平人才。</w:t>
            </w:r>
          </w:p>
        </w:tc>
        <w:tc>
          <w:tcPr>
            <w:tcW w:w="915" w:type="dxa"/>
            <w:gridSpan w:val="3"/>
            <w:noWrap w:val="0"/>
            <w:vAlign w:val="center"/>
          </w:tcPr>
          <w:p>
            <w:pPr>
              <w:spacing w:line="220" w:lineRule="exact"/>
              <w:ind w:left="-105" w:leftChars="-50" w:right="6" w:firstLine="90" w:firstLineChars="50"/>
              <w:rPr>
                <w:rFonts w:hint="default"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5.16-1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黑体" w:hAnsi="黑体" w:eastAsia="黑体" w:cs="黑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75" w:hRule="atLeast"/>
          <w:jc w:val="center"/>
        </w:trPr>
        <w:tc>
          <w:tcPr>
            <w:tcW w:w="826" w:type="dxa"/>
            <w:noWrap w:val="0"/>
            <w:vAlign w:val="center"/>
          </w:tcPr>
          <w:p>
            <w:pPr>
              <w:spacing w:line="220" w:lineRule="exact"/>
              <w:ind w:left="-105" w:leftChars="-50" w:right="6" w:firstLine="90" w:firstLineChars="50"/>
              <w:jc w:val="center"/>
              <w:rPr>
                <w:rFonts w:hint="eastAsia"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5.17</w:t>
            </w:r>
          </w:p>
        </w:tc>
        <w:tc>
          <w:tcPr>
            <w:tcW w:w="4020" w:type="dxa"/>
            <w:noWrap w:val="0"/>
            <w:vAlign w:val="center"/>
          </w:tcPr>
          <w:p>
            <w:pPr>
              <w:spacing w:line="220" w:lineRule="exact"/>
              <w:ind w:left="-105" w:leftChars="-50" w:right="6" w:firstLine="85" w:firstLineChars="50"/>
              <w:rPr>
                <w:rFonts w:hint="eastAsia" w:ascii="宋体" w:hAnsi="宋体" w:eastAsia="宋体" w:cs="Times New Roman"/>
                <w:color w:val="000000"/>
                <w:sz w:val="17"/>
                <w:szCs w:val="17"/>
                <w:lang w:val="en-US" w:eastAsia="zh-CN"/>
              </w:rPr>
            </w:pPr>
            <w:r>
              <w:rPr>
                <w:rFonts w:hint="eastAsia" w:ascii="宋体" w:hAnsi="宋体" w:eastAsia="宋体" w:cs="Times New Roman"/>
                <w:color w:val="000000"/>
                <w:sz w:val="17"/>
                <w:szCs w:val="17"/>
                <w:lang w:val="en-US" w:eastAsia="zh-CN"/>
              </w:rPr>
              <w:t>社区形成一系列行之有效、可推广可复制的经验做法，受到同行普遍关注，得到业界和相关领域一定认可，师生、家长、校友、社会公众满意度高。</w:t>
            </w:r>
          </w:p>
        </w:tc>
        <w:tc>
          <w:tcPr>
            <w:tcW w:w="915" w:type="dxa"/>
            <w:gridSpan w:val="3"/>
            <w:noWrap w:val="0"/>
            <w:vAlign w:val="center"/>
          </w:tcPr>
          <w:p>
            <w:pPr>
              <w:spacing w:line="220" w:lineRule="exact"/>
              <w:ind w:left="-105" w:leftChars="-50" w:right="6" w:firstLine="90" w:firstLineChars="50"/>
              <w:rPr>
                <w:rFonts w:hint="default" w:ascii="黑体" w:hAnsi="黑体" w:eastAsia="黑体" w:cs="黑体"/>
                <w:color w:val="000000"/>
                <w:sz w:val="18"/>
                <w:szCs w:val="18"/>
                <w:lang w:val="en-US"/>
              </w:rPr>
            </w:pPr>
            <w:r>
              <w:rPr>
                <w:rFonts w:hint="eastAsia" w:ascii="黑体" w:hAnsi="黑体" w:eastAsia="黑体" w:cs="黑体"/>
                <w:color w:val="000000"/>
                <w:sz w:val="18"/>
                <w:szCs w:val="18"/>
                <w:lang w:val="en-US" w:eastAsia="zh-CN"/>
              </w:rPr>
              <w:t>5.17-1</w:t>
            </w:r>
          </w:p>
        </w:tc>
        <w:tc>
          <w:tcPr>
            <w:tcW w:w="3182" w:type="dxa"/>
            <w:gridSpan w:val="2"/>
            <w:noWrap w:val="0"/>
            <w:vAlign w:val="center"/>
          </w:tcPr>
          <w:p>
            <w:pPr>
              <w:spacing w:line="220" w:lineRule="exact"/>
              <w:ind w:right="6"/>
              <w:rPr>
                <w:rFonts w:hint="eastAsia" w:ascii="宋体" w:hAnsi="宋体" w:eastAsia="宋体" w:cs="Times New Roman"/>
                <w:color w:val="000000"/>
                <w:sz w:val="17"/>
                <w:szCs w:val="17"/>
                <w:lang w:val="en-US" w:eastAsia="zh-CN"/>
              </w:rPr>
            </w:pPr>
          </w:p>
        </w:tc>
        <w:tc>
          <w:tcPr>
            <w:tcW w:w="1063" w:type="dxa"/>
            <w:noWrap w:val="0"/>
            <w:vAlign w:val="center"/>
          </w:tcPr>
          <w:p>
            <w:pPr>
              <w:spacing w:line="220" w:lineRule="exact"/>
              <w:ind w:left="-115" w:leftChars="-55" w:right="6"/>
              <w:jc w:val="center"/>
              <w:rPr>
                <w:rFonts w:hint="eastAsia" w:ascii="黑体" w:hAnsi="黑体" w:eastAsia="黑体" w:cs="黑体"/>
                <w:color w:val="000000"/>
                <w:sz w:val="18"/>
                <w:szCs w:val="18"/>
              </w:rPr>
            </w:pPr>
          </w:p>
        </w:tc>
      </w:tr>
    </w:tbl>
    <w:p>
      <w:pPr>
        <w:rPr>
          <w:rFonts w:hint="eastAsia"/>
        </w:rPr>
      </w:pPr>
    </w:p>
    <w:sectPr>
      <w:footerReference r:id="rId3" w:type="default"/>
      <w:footerReference r:id="rId4" w:type="even"/>
      <w:pgSz w:w="11906" w:h="16838"/>
      <w:pgMar w:top="1814" w:right="1797" w:bottom="1797" w:left="1814"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embedRegular r:id="rId1" w:fontKey="{10BD89B0-3C5A-4CB1-B39D-823968D830B4}"/>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embedRegular r:id="rId2" w:fontKey="{7EBDF3B1-C644-420C-986F-CD0171650ACB}"/>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3" w:fontKey="{6139F0F2-CE1C-4B22-B168-7463E9B4D7B6}"/>
  </w:font>
  <w:font w:name="楷体_GB2312">
    <w:panose1 w:val="02010609030101010101"/>
    <w:charset w:val="86"/>
    <w:family w:val="auto"/>
    <w:pitch w:val="default"/>
    <w:sig w:usb0="00000001" w:usb1="080E0000" w:usb2="00000000" w:usb3="00000000" w:csb0="00040000" w:csb1="00000000"/>
    <w:embedRegular r:id="rId4" w:fontKey="{50FAAFA1-1158-4551-A38D-161D3DDDAD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rPr>
        <w:lang w:val="zh-CN"/>
      </w:rPr>
      <w:t>8</w:t>
    </w:r>
    <w: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8"/>
      </w:rPr>
    </w:pPr>
    <w:r>
      <w:fldChar w:fldCharType="begin"/>
    </w:r>
    <w:r>
      <w:rPr>
        <w:rStyle w:val="18"/>
      </w:rPr>
      <w:instrText xml:space="preserve">PAGE  </w:instrText>
    </w:r>
    <w:r>
      <w:fldChar w:fldCharType="end"/>
    </w:r>
  </w:p>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mYjNjYjQwYTJkYzM2ZDIxNzQ3Y2U0MzY3ZTA1ZjAifQ=="/>
  </w:docVars>
  <w:rsids>
    <w:rsidRoot w:val="008C5C4C"/>
    <w:rsid w:val="0000113F"/>
    <w:rsid w:val="0000156E"/>
    <w:rsid w:val="000029C1"/>
    <w:rsid w:val="00002B44"/>
    <w:rsid w:val="00003BC3"/>
    <w:rsid w:val="00004856"/>
    <w:rsid w:val="00005B94"/>
    <w:rsid w:val="0001144D"/>
    <w:rsid w:val="00013C75"/>
    <w:rsid w:val="00014B22"/>
    <w:rsid w:val="0001547E"/>
    <w:rsid w:val="00015FA8"/>
    <w:rsid w:val="0002054A"/>
    <w:rsid w:val="00020759"/>
    <w:rsid w:val="00024334"/>
    <w:rsid w:val="000249FA"/>
    <w:rsid w:val="00024F6B"/>
    <w:rsid w:val="00025AA9"/>
    <w:rsid w:val="00025B0E"/>
    <w:rsid w:val="00026464"/>
    <w:rsid w:val="00026E9E"/>
    <w:rsid w:val="00026EB7"/>
    <w:rsid w:val="000279DF"/>
    <w:rsid w:val="00032616"/>
    <w:rsid w:val="00033863"/>
    <w:rsid w:val="00040E90"/>
    <w:rsid w:val="000416F8"/>
    <w:rsid w:val="00041808"/>
    <w:rsid w:val="000426D7"/>
    <w:rsid w:val="000429CE"/>
    <w:rsid w:val="0004397C"/>
    <w:rsid w:val="00044E65"/>
    <w:rsid w:val="00046139"/>
    <w:rsid w:val="00046A23"/>
    <w:rsid w:val="000475AF"/>
    <w:rsid w:val="00050914"/>
    <w:rsid w:val="0005300D"/>
    <w:rsid w:val="000565E0"/>
    <w:rsid w:val="00057978"/>
    <w:rsid w:val="000579CF"/>
    <w:rsid w:val="00061447"/>
    <w:rsid w:val="00065837"/>
    <w:rsid w:val="00066467"/>
    <w:rsid w:val="000665C7"/>
    <w:rsid w:val="00066BBD"/>
    <w:rsid w:val="000678FE"/>
    <w:rsid w:val="000765C0"/>
    <w:rsid w:val="00076F3F"/>
    <w:rsid w:val="00077401"/>
    <w:rsid w:val="00084139"/>
    <w:rsid w:val="00084720"/>
    <w:rsid w:val="00094CF4"/>
    <w:rsid w:val="000A1AE5"/>
    <w:rsid w:val="000A39D6"/>
    <w:rsid w:val="000A43C5"/>
    <w:rsid w:val="000A781A"/>
    <w:rsid w:val="000B157F"/>
    <w:rsid w:val="000B2803"/>
    <w:rsid w:val="000B34E7"/>
    <w:rsid w:val="000B63FA"/>
    <w:rsid w:val="000B6623"/>
    <w:rsid w:val="000B7BF2"/>
    <w:rsid w:val="000C17BE"/>
    <w:rsid w:val="000C539E"/>
    <w:rsid w:val="000C545C"/>
    <w:rsid w:val="000C6807"/>
    <w:rsid w:val="000C6F3D"/>
    <w:rsid w:val="000C7310"/>
    <w:rsid w:val="000D0D78"/>
    <w:rsid w:val="000D2315"/>
    <w:rsid w:val="000D3447"/>
    <w:rsid w:val="000D35EA"/>
    <w:rsid w:val="000D4C50"/>
    <w:rsid w:val="000D5AEB"/>
    <w:rsid w:val="000E034B"/>
    <w:rsid w:val="000E1F2C"/>
    <w:rsid w:val="000E496C"/>
    <w:rsid w:val="000E5792"/>
    <w:rsid w:val="000E6EF5"/>
    <w:rsid w:val="000F1099"/>
    <w:rsid w:val="000F14B2"/>
    <w:rsid w:val="000F2471"/>
    <w:rsid w:val="000F27B0"/>
    <w:rsid w:val="000F2FBF"/>
    <w:rsid w:val="000F4095"/>
    <w:rsid w:val="000F6259"/>
    <w:rsid w:val="000F7426"/>
    <w:rsid w:val="00100AD4"/>
    <w:rsid w:val="00100D01"/>
    <w:rsid w:val="001029A9"/>
    <w:rsid w:val="00110B77"/>
    <w:rsid w:val="00111B12"/>
    <w:rsid w:val="00113270"/>
    <w:rsid w:val="001134B5"/>
    <w:rsid w:val="00113A70"/>
    <w:rsid w:val="00115E59"/>
    <w:rsid w:val="00117CDF"/>
    <w:rsid w:val="0012056A"/>
    <w:rsid w:val="00120A30"/>
    <w:rsid w:val="00120F95"/>
    <w:rsid w:val="00122B2B"/>
    <w:rsid w:val="001232D9"/>
    <w:rsid w:val="001241EC"/>
    <w:rsid w:val="00130923"/>
    <w:rsid w:val="00131449"/>
    <w:rsid w:val="00133191"/>
    <w:rsid w:val="001345D7"/>
    <w:rsid w:val="00135333"/>
    <w:rsid w:val="00135649"/>
    <w:rsid w:val="00140B28"/>
    <w:rsid w:val="001410D3"/>
    <w:rsid w:val="00142381"/>
    <w:rsid w:val="00143507"/>
    <w:rsid w:val="001443F2"/>
    <w:rsid w:val="00145E2E"/>
    <w:rsid w:val="00147417"/>
    <w:rsid w:val="00151A64"/>
    <w:rsid w:val="0015304D"/>
    <w:rsid w:val="0015387A"/>
    <w:rsid w:val="0016474F"/>
    <w:rsid w:val="00164C68"/>
    <w:rsid w:val="001655EA"/>
    <w:rsid w:val="0017044D"/>
    <w:rsid w:val="00170520"/>
    <w:rsid w:val="00171B14"/>
    <w:rsid w:val="00174B04"/>
    <w:rsid w:val="00175147"/>
    <w:rsid w:val="00176B86"/>
    <w:rsid w:val="00177495"/>
    <w:rsid w:val="00177876"/>
    <w:rsid w:val="001818A0"/>
    <w:rsid w:val="00181E7C"/>
    <w:rsid w:val="001829EE"/>
    <w:rsid w:val="00182F20"/>
    <w:rsid w:val="00185916"/>
    <w:rsid w:val="0018678D"/>
    <w:rsid w:val="00195BA2"/>
    <w:rsid w:val="001A24C6"/>
    <w:rsid w:val="001A42EF"/>
    <w:rsid w:val="001B06AC"/>
    <w:rsid w:val="001B28A8"/>
    <w:rsid w:val="001B67CE"/>
    <w:rsid w:val="001B7C7D"/>
    <w:rsid w:val="001C047A"/>
    <w:rsid w:val="001C104D"/>
    <w:rsid w:val="001C3473"/>
    <w:rsid w:val="001C41A9"/>
    <w:rsid w:val="001C4E5C"/>
    <w:rsid w:val="001C4F12"/>
    <w:rsid w:val="001C56CB"/>
    <w:rsid w:val="001C6F3A"/>
    <w:rsid w:val="001D1268"/>
    <w:rsid w:val="001D329A"/>
    <w:rsid w:val="001D4113"/>
    <w:rsid w:val="001D4E1F"/>
    <w:rsid w:val="001D5744"/>
    <w:rsid w:val="001D5EE6"/>
    <w:rsid w:val="001E2BDB"/>
    <w:rsid w:val="001E4A32"/>
    <w:rsid w:val="001E513A"/>
    <w:rsid w:val="001F28E0"/>
    <w:rsid w:val="001F2AC4"/>
    <w:rsid w:val="001F2BF8"/>
    <w:rsid w:val="001F340A"/>
    <w:rsid w:val="001F7619"/>
    <w:rsid w:val="00202BF7"/>
    <w:rsid w:val="00202ECE"/>
    <w:rsid w:val="00204713"/>
    <w:rsid w:val="002064FE"/>
    <w:rsid w:val="002072A6"/>
    <w:rsid w:val="002079C0"/>
    <w:rsid w:val="0021089A"/>
    <w:rsid w:val="00210FBA"/>
    <w:rsid w:val="002110A6"/>
    <w:rsid w:val="002144CC"/>
    <w:rsid w:val="00214531"/>
    <w:rsid w:val="002158DF"/>
    <w:rsid w:val="00216B10"/>
    <w:rsid w:val="00220474"/>
    <w:rsid w:val="002219CC"/>
    <w:rsid w:val="002227CE"/>
    <w:rsid w:val="00223567"/>
    <w:rsid w:val="002241B5"/>
    <w:rsid w:val="0022501A"/>
    <w:rsid w:val="00226F75"/>
    <w:rsid w:val="00231C09"/>
    <w:rsid w:val="0023439E"/>
    <w:rsid w:val="00235446"/>
    <w:rsid w:val="00235A34"/>
    <w:rsid w:val="0023652E"/>
    <w:rsid w:val="0023731C"/>
    <w:rsid w:val="00237AAF"/>
    <w:rsid w:val="00240C76"/>
    <w:rsid w:val="00241096"/>
    <w:rsid w:val="002429E1"/>
    <w:rsid w:val="00243F1B"/>
    <w:rsid w:val="0024543D"/>
    <w:rsid w:val="0024565A"/>
    <w:rsid w:val="0024711F"/>
    <w:rsid w:val="00253E29"/>
    <w:rsid w:val="00254A33"/>
    <w:rsid w:val="00256038"/>
    <w:rsid w:val="00256ECF"/>
    <w:rsid w:val="00256FC8"/>
    <w:rsid w:val="00257063"/>
    <w:rsid w:val="002579C4"/>
    <w:rsid w:val="002636BF"/>
    <w:rsid w:val="00264DEC"/>
    <w:rsid w:val="00270008"/>
    <w:rsid w:val="00271D4A"/>
    <w:rsid w:val="0027433D"/>
    <w:rsid w:val="002762C2"/>
    <w:rsid w:val="002769CD"/>
    <w:rsid w:val="00281CCB"/>
    <w:rsid w:val="00283CFD"/>
    <w:rsid w:val="00284A22"/>
    <w:rsid w:val="00285D8C"/>
    <w:rsid w:val="002864D6"/>
    <w:rsid w:val="0028696C"/>
    <w:rsid w:val="00286BDA"/>
    <w:rsid w:val="00286DCA"/>
    <w:rsid w:val="0028741B"/>
    <w:rsid w:val="00287548"/>
    <w:rsid w:val="00287A3F"/>
    <w:rsid w:val="00293DB6"/>
    <w:rsid w:val="002951BB"/>
    <w:rsid w:val="002962F6"/>
    <w:rsid w:val="002A2988"/>
    <w:rsid w:val="002A2EAE"/>
    <w:rsid w:val="002A4620"/>
    <w:rsid w:val="002A6091"/>
    <w:rsid w:val="002B2682"/>
    <w:rsid w:val="002B550D"/>
    <w:rsid w:val="002B744B"/>
    <w:rsid w:val="002B7E69"/>
    <w:rsid w:val="002C142B"/>
    <w:rsid w:val="002C5A3B"/>
    <w:rsid w:val="002C63BA"/>
    <w:rsid w:val="002D034B"/>
    <w:rsid w:val="002D6B77"/>
    <w:rsid w:val="002D70C5"/>
    <w:rsid w:val="002E00B1"/>
    <w:rsid w:val="002E6669"/>
    <w:rsid w:val="002F13B1"/>
    <w:rsid w:val="002F208E"/>
    <w:rsid w:val="002F386A"/>
    <w:rsid w:val="002F66B4"/>
    <w:rsid w:val="002F7C59"/>
    <w:rsid w:val="00300C37"/>
    <w:rsid w:val="003024CC"/>
    <w:rsid w:val="00303D30"/>
    <w:rsid w:val="00304406"/>
    <w:rsid w:val="00311F83"/>
    <w:rsid w:val="003128B8"/>
    <w:rsid w:val="00312C21"/>
    <w:rsid w:val="00317A16"/>
    <w:rsid w:val="00317B2B"/>
    <w:rsid w:val="00321445"/>
    <w:rsid w:val="00323202"/>
    <w:rsid w:val="0032325C"/>
    <w:rsid w:val="00323B81"/>
    <w:rsid w:val="00324AC5"/>
    <w:rsid w:val="0033145C"/>
    <w:rsid w:val="0033173D"/>
    <w:rsid w:val="00335EC9"/>
    <w:rsid w:val="00336A06"/>
    <w:rsid w:val="0034165D"/>
    <w:rsid w:val="00342F57"/>
    <w:rsid w:val="00343E0D"/>
    <w:rsid w:val="0034417D"/>
    <w:rsid w:val="00344CCC"/>
    <w:rsid w:val="0034520D"/>
    <w:rsid w:val="00345D79"/>
    <w:rsid w:val="00347260"/>
    <w:rsid w:val="0035386A"/>
    <w:rsid w:val="00357D78"/>
    <w:rsid w:val="00357F85"/>
    <w:rsid w:val="00361192"/>
    <w:rsid w:val="00361274"/>
    <w:rsid w:val="00362AD1"/>
    <w:rsid w:val="0036346A"/>
    <w:rsid w:val="00364130"/>
    <w:rsid w:val="003659CE"/>
    <w:rsid w:val="00370334"/>
    <w:rsid w:val="003706E2"/>
    <w:rsid w:val="00370EB6"/>
    <w:rsid w:val="00371103"/>
    <w:rsid w:val="00372126"/>
    <w:rsid w:val="0037270D"/>
    <w:rsid w:val="00377D3B"/>
    <w:rsid w:val="003824B4"/>
    <w:rsid w:val="00383D22"/>
    <w:rsid w:val="00385CB9"/>
    <w:rsid w:val="0039389A"/>
    <w:rsid w:val="00396279"/>
    <w:rsid w:val="003A1146"/>
    <w:rsid w:val="003A1F3B"/>
    <w:rsid w:val="003A31FE"/>
    <w:rsid w:val="003A361B"/>
    <w:rsid w:val="003A4AEC"/>
    <w:rsid w:val="003A4EFD"/>
    <w:rsid w:val="003A5CAC"/>
    <w:rsid w:val="003A64C6"/>
    <w:rsid w:val="003A7A62"/>
    <w:rsid w:val="003B10D8"/>
    <w:rsid w:val="003B3948"/>
    <w:rsid w:val="003B3C21"/>
    <w:rsid w:val="003B3D65"/>
    <w:rsid w:val="003B405F"/>
    <w:rsid w:val="003B4282"/>
    <w:rsid w:val="003C1D3B"/>
    <w:rsid w:val="003C5E73"/>
    <w:rsid w:val="003D0096"/>
    <w:rsid w:val="003D0FD9"/>
    <w:rsid w:val="003D1794"/>
    <w:rsid w:val="003D244B"/>
    <w:rsid w:val="003D3304"/>
    <w:rsid w:val="003D39C2"/>
    <w:rsid w:val="003D5AAD"/>
    <w:rsid w:val="003E061D"/>
    <w:rsid w:val="003E15EA"/>
    <w:rsid w:val="003E259B"/>
    <w:rsid w:val="003F0585"/>
    <w:rsid w:val="004056F1"/>
    <w:rsid w:val="00410C6B"/>
    <w:rsid w:val="004147E3"/>
    <w:rsid w:val="00415390"/>
    <w:rsid w:val="00423417"/>
    <w:rsid w:val="00424004"/>
    <w:rsid w:val="004403C3"/>
    <w:rsid w:val="00440D7C"/>
    <w:rsid w:val="00443158"/>
    <w:rsid w:val="004436BC"/>
    <w:rsid w:val="00445A26"/>
    <w:rsid w:val="00445B78"/>
    <w:rsid w:val="004470D8"/>
    <w:rsid w:val="0045264C"/>
    <w:rsid w:val="00453B1A"/>
    <w:rsid w:val="00453FD8"/>
    <w:rsid w:val="00455FF9"/>
    <w:rsid w:val="004562E6"/>
    <w:rsid w:val="00456F53"/>
    <w:rsid w:val="00460CAD"/>
    <w:rsid w:val="00460FCE"/>
    <w:rsid w:val="00465027"/>
    <w:rsid w:val="004703A4"/>
    <w:rsid w:val="00471DA0"/>
    <w:rsid w:val="0047490F"/>
    <w:rsid w:val="0047491D"/>
    <w:rsid w:val="004755BF"/>
    <w:rsid w:val="004759FA"/>
    <w:rsid w:val="004845F6"/>
    <w:rsid w:val="00487B49"/>
    <w:rsid w:val="004902D0"/>
    <w:rsid w:val="004906C6"/>
    <w:rsid w:val="00497619"/>
    <w:rsid w:val="00497877"/>
    <w:rsid w:val="004A07C8"/>
    <w:rsid w:val="004A0862"/>
    <w:rsid w:val="004A45BF"/>
    <w:rsid w:val="004A52BE"/>
    <w:rsid w:val="004A637C"/>
    <w:rsid w:val="004B6AF6"/>
    <w:rsid w:val="004C19B3"/>
    <w:rsid w:val="004C2151"/>
    <w:rsid w:val="004C2BE7"/>
    <w:rsid w:val="004C3AE2"/>
    <w:rsid w:val="004C4FD2"/>
    <w:rsid w:val="004C559B"/>
    <w:rsid w:val="004C5B69"/>
    <w:rsid w:val="004D12D2"/>
    <w:rsid w:val="004D6332"/>
    <w:rsid w:val="004D7F75"/>
    <w:rsid w:val="004E0A20"/>
    <w:rsid w:val="004E20A5"/>
    <w:rsid w:val="004E2956"/>
    <w:rsid w:val="004E2C4A"/>
    <w:rsid w:val="004E30A4"/>
    <w:rsid w:val="004E32F1"/>
    <w:rsid w:val="004F2DE4"/>
    <w:rsid w:val="004F4682"/>
    <w:rsid w:val="005017D3"/>
    <w:rsid w:val="00502B34"/>
    <w:rsid w:val="005035BA"/>
    <w:rsid w:val="00503A1C"/>
    <w:rsid w:val="0050489F"/>
    <w:rsid w:val="00505C40"/>
    <w:rsid w:val="00506A9B"/>
    <w:rsid w:val="0051065C"/>
    <w:rsid w:val="00510695"/>
    <w:rsid w:val="00512552"/>
    <w:rsid w:val="0051498E"/>
    <w:rsid w:val="00517F8E"/>
    <w:rsid w:val="00522108"/>
    <w:rsid w:val="00522845"/>
    <w:rsid w:val="00522F50"/>
    <w:rsid w:val="00523D23"/>
    <w:rsid w:val="0052413F"/>
    <w:rsid w:val="005246FF"/>
    <w:rsid w:val="00525161"/>
    <w:rsid w:val="0052594A"/>
    <w:rsid w:val="00530246"/>
    <w:rsid w:val="00533598"/>
    <w:rsid w:val="0053713C"/>
    <w:rsid w:val="00541F39"/>
    <w:rsid w:val="005425EF"/>
    <w:rsid w:val="00542BAB"/>
    <w:rsid w:val="0054344F"/>
    <w:rsid w:val="00543686"/>
    <w:rsid w:val="00544545"/>
    <w:rsid w:val="0054658C"/>
    <w:rsid w:val="00546CFF"/>
    <w:rsid w:val="00547D89"/>
    <w:rsid w:val="00547FA1"/>
    <w:rsid w:val="00550284"/>
    <w:rsid w:val="00556467"/>
    <w:rsid w:val="00561543"/>
    <w:rsid w:val="0056507E"/>
    <w:rsid w:val="00566916"/>
    <w:rsid w:val="00567628"/>
    <w:rsid w:val="005721A3"/>
    <w:rsid w:val="005746DA"/>
    <w:rsid w:val="0057481E"/>
    <w:rsid w:val="005775A6"/>
    <w:rsid w:val="00580618"/>
    <w:rsid w:val="005823F6"/>
    <w:rsid w:val="00583701"/>
    <w:rsid w:val="005851E0"/>
    <w:rsid w:val="00585429"/>
    <w:rsid w:val="00586267"/>
    <w:rsid w:val="005916B9"/>
    <w:rsid w:val="00591845"/>
    <w:rsid w:val="00592FC7"/>
    <w:rsid w:val="0059475E"/>
    <w:rsid w:val="00596036"/>
    <w:rsid w:val="005964A8"/>
    <w:rsid w:val="005A2197"/>
    <w:rsid w:val="005A2A71"/>
    <w:rsid w:val="005B0833"/>
    <w:rsid w:val="005B178B"/>
    <w:rsid w:val="005B2F12"/>
    <w:rsid w:val="005B511E"/>
    <w:rsid w:val="005B535B"/>
    <w:rsid w:val="005B5E40"/>
    <w:rsid w:val="005C0F43"/>
    <w:rsid w:val="005C3EC4"/>
    <w:rsid w:val="005C3FCF"/>
    <w:rsid w:val="005C403F"/>
    <w:rsid w:val="005C44EE"/>
    <w:rsid w:val="005C4EE3"/>
    <w:rsid w:val="005C59E2"/>
    <w:rsid w:val="005C5EC3"/>
    <w:rsid w:val="005C6CCF"/>
    <w:rsid w:val="005D2B51"/>
    <w:rsid w:val="005D35AF"/>
    <w:rsid w:val="005D4076"/>
    <w:rsid w:val="005D6350"/>
    <w:rsid w:val="005D655B"/>
    <w:rsid w:val="005D7B3B"/>
    <w:rsid w:val="005E2F09"/>
    <w:rsid w:val="005E476C"/>
    <w:rsid w:val="005E52AD"/>
    <w:rsid w:val="005F190D"/>
    <w:rsid w:val="005F2EA2"/>
    <w:rsid w:val="005F66AC"/>
    <w:rsid w:val="005F6BF3"/>
    <w:rsid w:val="00600379"/>
    <w:rsid w:val="00600792"/>
    <w:rsid w:val="006014FE"/>
    <w:rsid w:val="00601589"/>
    <w:rsid w:val="00601CA2"/>
    <w:rsid w:val="006036BF"/>
    <w:rsid w:val="00606AE3"/>
    <w:rsid w:val="00615170"/>
    <w:rsid w:val="00620252"/>
    <w:rsid w:val="0062197F"/>
    <w:rsid w:val="006226E5"/>
    <w:rsid w:val="00624620"/>
    <w:rsid w:val="00626A9D"/>
    <w:rsid w:val="00627D6E"/>
    <w:rsid w:val="00630357"/>
    <w:rsid w:val="006336DC"/>
    <w:rsid w:val="00637AE8"/>
    <w:rsid w:val="00641873"/>
    <w:rsid w:val="00642184"/>
    <w:rsid w:val="00644EC3"/>
    <w:rsid w:val="006461CB"/>
    <w:rsid w:val="006471DB"/>
    <w:rsid w:val="006522CA"/>
    <w:rsid w:val="0065563B"/>
    <w:rsid w:val="0066064F"/>
    <w:rsid w:val="00660F5F"/>
    <w:rsid w:val="00661ABC"/>
    <w:rsid w:val="0066345F"/>
    <w:rsid w:val="00663D11"/>
    <w:rsid w:val="0066427D"/>
    <w:rsid w:val="00664CF1"/>
    <w:rsid w:val="0066518E"/>
    <w:rsid w:val="006658A8"/>
    <w:rsid w:val="0066672B"/>
    <w:rsid w:val="006667C5"/>
    <w:rsid w:val="006667FB"/>
    <w:rsid w:val="00667497"/>
    <w:rsid w:val="00670A29"/>
    <w:rsid w:val="00672457"/>
    <w:rsid w:val="00674CEB"/>
    <w:rsid w:val="00675C0F"/>
    <w:rsid w:val="00681C3B"/>
    <w:rsid w:val="00681EC3"/>
    <w:rsid w:val="00684376"/>
    <w:rsid w:val="006859A2"/>
    <w:rsid w:val="00687C87"/>
    <w:rsid w:val="00690D44"/>
    <w:rsid w:val="006924B5"/>
    <w:rsid w:val="00695475"/>
    <w:rsid w:val="006961FC"/>
    <w:rsid w:val="00696688"/>
    <w:rsid w:val="00696E9E"/>
    <w:rsid w:val="0069738A"/>
    <w:rsid w:val="00697CCA"/>
    <w:rsid w:val="006A40D1"/>
    <w:rsid w:val="006A4C7A"/>
    <w:rsid w:val="006A5C92"/>
    <w:rsid w:val="006B1551"/>
    <w:rsid w:val="006B2D20"/>
    <w:rsid w:val="006B36E2"/>
    <w:rsid w:val="006B52D7"/>
    <w:rsid w:val="006B7496"/>
    <w:rsid w:val="006C0FFD"/>
    <w:rsid w:val="006C1019"/>
    <w:rsid w:val="006C499C"/>
    <w:rsid w:val="006C6BE6"/>
    <w:rsid w:val="006D0989"/>
    <w:rsid w:val="006D15DD"/>
    <w:rsid w:val="006D1D24"/>
    <w:rsid w:val="006D2A8B"/>
    <w:rsid w:val="006D38CF"/>
    <w:rsid w:val="006D74F1"/>
    <w:rsid w:val="006D7881"/>
    <w:rsid w:val="006E425C"/>
    <w:rsid w:val="006E46FD"/>
    <w:rsid w:val="006E485D"/>
    <w:rsid w:val="006E4950"/>
    <w:rsid w:val="006E51F2"/>
    <w:rsid w:val="006E7B23"/>
    <w:rsid w:val="006E7FC6"/>
    <w:rsid w:val="006F0A32"/>
    <w:rsid w:val="006F3416"/>
    <w:rsid w:val="006F4DEE"/>
    <w:rsid w:val="00701D00"/>
    <w:rsid w:val="007025D6"/>
    <w:rsid w:val="007041EB"/>
    <w:rsid w:val="0070454E"/>
    <w:rsid w:val="00705211"/>
    <w:rsid w:val="007072A5"/>
    <w:rsid w:val="007114F3"/>
    <w:rsid w:val="00711986"/>
    <w:rsid w:val="00713B05"/>
    <w:rsid w:val="00715DDB"/>
    <w:rsid w:val="00716CF4"/>
    <w:rsid w:val="00722AAF"/>
    <w:rsid w:val="00723918"/>
    <w:rsid w:val="00724B2E"/>
    <w:rsid w:val="007259FA"/>
    <w:rsid w:val="007267ED"/>
    <w:rsid w:val="007361FD"/>
    <w:rsid w:val="00737394"/>
    <w:rsid w:val="0074129D"/>
    <w:rsid w:val="00743234"/>
    <w:rsid w:val="0074701A"/>
    <w:rsid w:val="00750D68"/>
    <w:rsid w:val="007531B6"/>
    <w:rsid w:val="00753BC7"/>
    <w:rsid w:val="0075412E"/>
    <w:rsid w:val="00755349"/>
    <w:rsid w:val="007604E7"/>
    <w:rsid w:val="00762093"/>
    <w:rsid w:val="00770E48"/>
    <w:rsid w:val="007768E8"/>
    <w:rsid w:val="007772E7"/>
    <w:rsid w:val="00780336"/>
    <w:rsid w:val="00781A50"/>
    <w:rsid w:val="00783B85"/>
    <w:rsid w:val="00783CC0"/>
    <w:rsid w:val="0078433B"/>
    <w:rsid w:val="007850C7"/>
    <w:rsid w:val="0078596D"/>
    <w:rsid w:val="00785F13"/>
    <w:rsid w:val="00787D58"/>
    <w:rsid w:val="00790BCD"/>
    <w:rsid w:val="00792673"/>
    <w:rsid w:val="00793950"/>
    <w:rsid w:val="0079699F"/>
    <w:rsid w:val="00796AA2"/>
    <w:rsid w:val="007A0B04"/>
    <w:rsid w:val="007A3942"/>
    <w:rsid w:val="007A72D4"/>
    <w:rsid w:val="007A7AB8"/>
    <w:rsid w:val="007B1E23"/>
    <w:rsid w:val="007B2C12"/>
    <w:rsid w:val="007B3AD2"/>
    <w:rsid w:val="007B5309"/>
    <w:rsid w:val="007C0C0E"/>
    <w:rsid w:val="007C16A2"/>
    <w:rsid w:val="007C2166"/>
    <w:rsid w:val="007C54B9"/>
    <w:rsid w:val="007C6967"/>
    <w:rsid w:val="007C7660"/>
    <w:rsid w:val="007D0CD7"/>
    <w:rsid w:val="007D21DE"/>
    <w:rsid w:val="007D28BB"/>
    <w:rsid w:val="007D49E6"/>
    <w:rsid w:val="007D4CB1"/>
    <w:rsid w:val="007D511B"/>
    <w:rsid w:val="007D7DCC"/>
    <w:rsid w:val="007E018C"/>
    <w:rsid w:val="007E0A73"/>
    <w:rsid w:val="007E2729"/>
    <w:rsid w:val="007E3DF5"/>
    <w:rsid w:val="007E4237"/>
    <w:rsid w:val="007E453B"/>
    <w:rsid w:val="007E666A"/>
    <w:rsid w:val="007E72F3"/>
    <w:rsid w:val="007E7B88"/>
    <w:rsid w:val="007F3089"/>
    <w:rsid w:val="007F342B"/>
    <w:rsid w:val="007F5888"/>
    <w:rsid w:val="007F6673"/>
    <w:rsid w:val="007F69CD"/>
    <w:rsid w:val="007F6A86"/>
    <w:rsid w:val="007F7453"/>
    <w:rsid w:val="00801C4C"/>
    <w:rsid w:val="008025CA"/>
    <w:rsid w:val="0080273A"/>
    <w:rsid w:val="0080318A"/>
    <w:rsid w:val="008063D2"/>
    <w:rsid w:val="008063FA"/>
    <w:rsid w:val="0080645D"/>
    <w:rsid w:val="0080668B"/>
    <w:rsid w:val="00807EBA"/>
    <w:rsid w:val="0081375C"/>
    <w:rsid w:val="00815003"/>
    <w:rsid w:val="00815521"/>
    <w:rsid w:val="00817A7C"/>
    <w:rsid w:val="0082228C"/>
    <w:rsid w:val="00823C3D"/>
    <w:rsid w:val="00824240"/>
    <w:rsid w:val="00824D37"/>
    <w:rsid w:val="00825464"/>
    <w:rsid w:val="008265B1"/>
    <w:rsid w:val="00827895"/>
    <w:rsid w:val="00827A45"/>
    <w:rsid w:val="00830EA9"/>
    <w:rsid w:val="00832EC8"/>
    <w:rsid w:val="00833E65"/>
    <w:rsid w:val="00834ABC"/>
    <w:rsid w:val="008371F1"/>
    <w:rsid w:val="008418D6"/>
    <w:rsid w:val="0084607F"/>
    <w:rsid w:val="0084644B"/>
    <w:rsid w:val="008474E1"/>
    <w:rsid w:val="00847745"/>
    <w:rsid w:val="00850E2D"/>
    <w:rsid w:val="00857F75"/>
    <w:rsid w:val="00860455"/>
    <w:rsid w:val="008642F5"/>
    <w:rsid w:val="0086484D"/>
    <w:rsid w:val="00876FC0"/>
    <w:rsid w:val="008833B6"/>
    <w:rsid w:val="0089110B"/>
    <w:rsid w:val="00892793"/>
    <w:rsid w:val="008928E0"/>
    <w:rsid w:val="0089581F"/>
    <w:rsid w:val="00895EC6"/>
    <w:rsid w:val="00897CD4"/>
    <w:rsid w:val="008A22EE"/>
    <w:rsid w:val="008A3C8E"/>
    <w:rsid w:val="008A464D"/>
    <w:rsid w:val="008A79A9"/>
    <w:rsid w:val="008B5171"/>
    <w:rsid w:val="008B7FF8"/>
    <w:rsid w:val="008C13CD"/>
    <w:rsid w:val="008C2075"/>
    <w:rsid w:val="008C41BF"/>
    <w:rsid w:val="008C4BD9"/>
    <w:rsid w:val="008C58EB"/>
    <w:rsid w:val="008C5C4C"/>
    <w:rsid w:val="008D00F3"/>
    <w:rsid w:val="008D0AF2"/>
    <w:rsid w:val="008D186D"/>
    <w:rsid w:val="008D1933"/>
    <w:rsid w:val="008D2673"/>
    <w:rsid w:val="008D2DBC"/>
    <w:rsid w:val="008D3424"/>
    <w:rsid w:val="008D3954"/>
    <w:rsid w:val="008D551D"/>
    <w:rsid w:val="008D5E91"/>
    <w:rsid w:val="008D6A75"/>
    <w:rsid w:val="008D6F04"/>
    <w:rsid w:val="008D6FB0"/>
    <w:rsid w:val="008E2852"/>
    <w:rsid w:val="008E2B89"/>
    <w:rsid w:val="008E37C4"/>
    <w:rsid w:val="008E5BB5"/>
    <w:rsid w:val="008E77E3"/>
    <w:rsid w:val="008F526B"/>
    <w:rsid w:val="009035F9"/>
    <w:rsid w:val="00904685"/>
    <w:rsid w:val="00910A11"/>
    <w:rsid w:val="00911BF1"/>
    <w:rsid w:val="0091278F"/>
    <w:rsid w:val="00912DF9"/>
    <w:rsid w:val="009156AC"/>
    <w:rsid w:val="009156C8"/>
    <w:rsid w:val="0091575A"/>
    <w:rsid w:val="00915C8F"/>
    <w:rsid w:val="009170F6"/>
    <w:rsid w:val="00920EE3"/>
    <w:rsid w:val="00920EEF"/>
    <w:rsid w:val="009236D2"/>
    <w:rsid w:val="0092580F"/>
    <w:rsid w:val="009314B8"/>
    <w:rsid w:val="009319D7"/>
    <w:rsid w:val="00931ED3"/>
    <w:rsid w:val="00932B51"/>
    <w:rsid w:val="0093406D"/>
    <w:rsid w:val="00934A86"/>
    <w:rsid w:val="009372CF"/>
    <w:rsid w:val="009546C6"/>
    <w:rsid w:val="00955476"/>
    <w:rsid w:val="00955690"/>
    <w:rsid w:val="0095682C"/>
    <w:rsid w:val="00961719"/>
    <w:rsid w:val="0096375A"/>
    <w:rsid w:val="00965CD6"/>
    <w:rsid w:val="00967982"/>
    <w:rsid w:val="00971608"/>
    <w:rsid w:val="0097369F"/>
    <w:rsid w:val="00973E86"/>
    <w:rsid w:val="009742DD"/>
    <w:rsid w:val="00977819"/>
    <w:rsid w:val="00980377"/>
    <w:rsid w:val="00981258"/>
    <w:rsid w:val="00981F5B"/>
    <w:rsid w:val="00983938"/>
    <w:rsid w:val="009841F2"/>
    <w:rsid w:val="0098458D"/>
    <w:rsid w:val="0099247A"/>
    <w:rsid w:val="00992CF3"/>
    <w:rsid w:val="00993438"/>
    <w:rsid w:val="00997F07"/>
    <w:rsid w:val="009A1583"/>
    <w:rsid w:val="009A16CA"/>
    <w:rsid w:val="009A27F7"/>
    <w:rsid w:val="009A3161"/>
    <w:rsid w:val="009A33CF"/>
    <w:rsid w:val="009A58C3"/>
    <w:rsid w:val="009B6568"/>
    <w:rsid w:val="009C0147"/>
    <w:rsid w:val="009C0761"/>
    <w:rsid w:val="009C7AC4"/>
    <w:rsid w:val="009D1973"/>
    <w:rsid w:val="009D26DF"/>
    <w:rsid w:val="009D3482"/>
    <w:rsid w:val="009D3A5B"/>
    <w:rsid w:val="009D415A"/>
    <w:rsid w:val="009D55F8"/>
    <w:rsid w:val="009D6597"/>
    <w:rsid w:val="009D68E3"/>
    <w:rsid w:val="009E2827"/>
    <w:rsid w:val="009E7753"/>
    <w:rsid w:val="009F2CD8"/>
    <w:rsid w:val="009F5BD3"/>
    <w:rsid w:val="009F6639"/>
    <w:rsid w:val="009F6EA4"/>
    <w:rsid w:val="009F77A1"/>
    <w:rsid w:val="00A00471"/>
    <w:rsid w:val="00A01BB2"/>
    <w:rsid w:val="00A07A2F"/>
    <w:rsid w:val="00A07A71"/>
    <w:rsid w:val="00A07F81"/>
    <w:rsid w:val="00A10096"/>
    <w:rsid w:val="00A11093"/>
    <w:rsid w:val="00A110BF"/>
    <w:rsid w:val="00A12EEF"/>
    <w:rsid w:val="00A1314C"/>
    <w:rsid w:val="00A1487D"/>
    <w:rsid w:val="00A14FB3"/>
    <w:rsid w:val="00A15A6F"/>
    <w:rsid w:val="00A20567"/>
    <w:rsid w:val="00A219BC"/>
    <w:rsid w:val="00A305BC"/>
    <w:rsid w:val="00A33BD2"/>
    <w:rsid w:val="00A345D0"/>
    <w:rsid w:val="00A36A1D"/>
    <w:rsid w:val="00A36B07"/>
    <w:rsid w:val="00A41C11"/>
    <w:rsid w:val="00A43755"/>
    <w:rsid w:val="00A447DF"/>
    <w:rsid w:val="00A51A28"/>
    <w:rsid w:val="00A52EC3"/>
    <w:rsid w:val="00A61A9D"/>
    <w:rsid w:val="00A727D3"/>
    <w:rsid w:val="00A73632"/>
    <w:rsid w:val="00A73744"/>
    <w:rsid w:val="00A759E5"/>
    <w:rsid w:val="00A77847"/>
    <w:rsid w:val="00A809DC"/>
    <w:rsid w:val="00A82B6E"/>
    <w:rsid w:val="00A83A1B"/>
    <w:rsid w:val="00A841C4"/>
    <w:rsid w:val="00A84376"/>
    <w:rsid w:val="00A85280"/>
    <w:rsid w:val="00A860FF"/>
    <w:rsid w:val="00A865A1"/>
    <w:rsid w:val="00A867FB"/>
    <w:rsid w:val="00A951CB"/>
    <w:rsid w:val="00A95E6F"/>
    <w:rsid w:val="00A96D9F"/>
    <w:rsid w:val="00A97E5E"/>
    <w:rsid w:val="00AA08F1"/>
    <w:rsid w:val="00AA294A"/>
    <w:rsid w:val="00AA2E31"/>
    <w:rsid w:val="00AA5609"/>
    <w:rsid w:val="00AA6CE1"/>
    <w:rsid w:val="00AA75B9"/>
    <w:rsid w:val="00AB17B6"/>
    <w:rsid w:val="00AB21C4"/>
    <w:rsid w:val="00AB3619"/>
    <w:rsid w:val="00AB3740"/>
    <w:rsid w:val="00AB3FA8"/>
    <w:rsid w:val="00AB591E"/>
    <w:rsid w:val="00AB5D57"/>
    <w:rsid w:val="00AB6E9B"/>
    <w:rsid w:val="00AC13B9"/>
    <w:rsid w:val="00AC3315"/>
    <w:rsid w:val="00AC3418"/>
    <w:rsid w:val="00AC3900"/>
    <w:rsid w:val="00AC3E98"/>
    <w:rsid w:val="00AC6CBC"/>
    <w:rsid w:val="00AD117C"/>
    <w:rsid w:val="00AD408C"/>
    <w:rsid w:val="00AE0090"/>
    <w:rsid w:val="00AE71A8"/>
    <w:rsid w:val="00AF1521"/>
    <w:rsid w:val="00AF2D38"/>
    <w:rsid w:val="00AF633A"/>
    <w:rsid w:val="00AF7E72"/>
    <w:rsid w:val="00B00912"/>
    <w:rsid w:val="00B018B9"/>
    <w:rsid w:val="00B0293A"/>
    <w:rsid w:val="00B036DF"/>
    <w:rsid w:val="00B05641"/>
    <w:rsid w:val="00B05AB5"/>
    <w:rsid w:val="00B14168"/>
    <w:rsid w:val="00B164A5"/>
    <w:rsid w:val="00B208B8"/>
    <w:rsid w:val="00B22978"/>
    <w:rsid w:val="00B2354E"/>
    <w:rsid w:val="00B2365A"/>
    <w:rsid w:val="00B24E7B"/>
    <w:rsid w:val="00B26117"/>
    <w:rsid w:val="00B30773"/>
    <w:rsid w:val="00B311AF"/>
    <w:rsid w:val="00B31663"/>
    <w:rsid w:val="00B32AE3"/>
    <w:rsid w:val="00B423C5"/>
    <w:rsid w:val="00B429DB"/>
    <w:rsid w:val="00B42FDF"/>
    <w:rsid w:val="00B43C26"/>
    <w:rsid w:val="00B4534F"/>
    <w:rsid w:val="00B4671D"/>
    <w:rsid w:val="00B46F73"/>
    <w:rsid w:val="00B47AD2"/>
    <w:rsid w:val="00B51A54"/>
    <w:rsid w:val="00B52949"/>
    <w:rsid w:val="00B53A7F"/>
    <w:rsid w:val="00B54D2B"/>
    <w:rsid w:val="00B5514A"/>
    <w:rsid w:val="00B56E78"/>
    <w:rsid w:val="00B57179"/>
    <w:rsid w:val="00B618D1"/>
    <w:rsid w:val="00B61F15"/>
    <w:rsid w:val="00B64C10"/>
    <w:rsid w:val="00B6575B"/>
    <w:rsid w:val="00B65A02"/>
    <w:rsid w:val="00B7074A"/>
    <w:rsid w:val="00B717F2"/>
    <w:rsid w:val="00B735BB"/>
    <w:rsid w:val="00B74736"/>
    <w:rsid w:val="00B7527E"/>
    <w:rsid w:val="00B77A0A"/>
    <w:rsid w:val="00B81BBD"/>
    <w:rsid w:val="00B84F97"/>
    <w:rsid w:val="00B87EE6"/>
    <w:rsid w:val="00B90024"/>
    <w:rsid w:val="00B971BB"/>
    <w:rsid w:val="00BA1344"/>
    <w:rsid w:val="00BA196F"/>
    <w:rsid w:val="00BA385A"/>
    <w:rsid w:val="00BA3919"/>
    <w:rsid w:val="00BA5CC3"/>
    <w:rsid w:val="00BA68D5"/>
    <w:rsid w:val="00BA6B5A"/>
    <w:rsid w:val="00BB0139"/>
    <w:rsid w:val="00BB0769"/>
    <w:rsid w:val="00BB2B91"/>
    <w:rsid w:val="00BB414B"/>
    <w:rsid w:val="00BB7A6F"/>
    <w:rsid w:val="00BC25AD"/>
    <w:rsid w:val="00BC407D"/>
    <w:rsid w:val="00BC48F7"/>
    <w:rsid w:val="00BC5940"/>
    <w:rsid w:val="00BC67C7"/>
    <w:rsid w:val="00BD221A"/>
    <w:rsid w:val="00BD4A78"/>
    <w:rsid w:val="00BD695D"/>
    <w:rsid w:val="00BD7757"/>
    <w:rsid w:val="00BE5646"/>
    <w:rsid w:val="00BE6A83"/>
    <w:rsid w:val="00BF0B08"/>
    <w:rsid w:val="00BF0E38"/>
    <w:rsid w:val="00BF42FF"/>
    <w:rsid w:val="00BF5187"/>
    <w:rsid w:val="00BF5FF4"/>
    <w:rsid w:val="00BF706B"/>
    <w:rsid w:val="00BF7A05"/>
    <w:rsid w:val="00BF7F5F"/>
    <w:rsid w:val="00C00940"/>
    <w:rsid w:val="00C0583E"/>
    <w:rsid w:val="00C05DEF"/>
    <w:rsid w:val="00C13A47"/>
    <w:rsid w:val="00C13B1A"/>
    <w:rsid w:val="00C1421B"/>
    <w:rsid w:val="00C157EE"/>
    <w:rsid w:val="00C16150"/>
    <w:rsid w:val="00C33F47"/>
    <w:rsid w:val="00C369E9"/>
    <w:rsid w:val="00C37A8A"/>
    <w:rsid w:val="00C40675"/>
    <w:rsid w:val="00C426DC"/>
    <w:rsid w:val="00C42F94"/>
    <w:rsid w:val="00C452FE"/>
    <w:rsid w:val="00C46222"/>
    <w:rsid w:val="00C46BF7"/>
    <w:rsid w:val="00C54178"/>
    <w:rsid w:val="00C54EA3"/>
    <w:rsid w:val="00C55E91"/>
    <w:rsid w:val="00C55E9E"/>
    <w:rsid w:val="00C57387"/>
    <w:rsid w:val="00C60AAC"/>
    <w:rsid w:val="00C612B2"/>
    <w:rsid w:val="00C61BF2"/>
    <w:rsid w:val="00C622CD"/>
    <w:rsid w:val="00C67074"/>
    <w:rsid w:val="00C710C6"/>
    <w:rsid w:val="00C71E63"/>
    <w:rsid w:val="00C72C98"/>
    <w:rsid w:val="00C753C9"/>
    <w:rsid w:val="00C7764C"/>
    <w:rsid w:val="00C803A2"/>
    <w:rsid w:val="00C807A0"/>
    <w:rsid w:val="00C81EB5"/>
    <w:rsid w:val="00C82140"/>
    <w:rsid w:val="00C8285A"/>
    <w:rsid w:val="00C82ED4"/>
    <w:rsid w:val="00C83715"/>
    <w:rsid w:val="00C904D2"/>
    <w:rsid w:val="00C90B3D"/>
    <w:rsid w:val="00C9261E"/>
    <w:rsid w:val="00C9276E"/>
    <w:rsid w:val="00C930AF"/>
    <w:rsid w:val="00CA3526"/>
    <w:rsid w:val="00CA7945"/>
    <w:rsid w:val="00CA7D9A"/>
    <w:rsid w:val="00CB0D23"/>
    <w:rsid w:val="00CB1F9C"/>
    <w:rsid w:val="00CB7FC1"/>
    <w:rsid w:val="00CC1F7F"/>
    <w:rsid w:val="00CC2633"/>
    <w:rsid w:val="00CC429B"/>
    <w:rsid w:val="00CC5EF7"/>
    <w:rsid w:val="00CC6B83"/>
    <w:rsid w:val="00CD3AF7"/>
    <w:rsid w:val="00CD54A1"/>
    <w:rsid w:val="00CD5520"/>
    <w:rsid w:val="00CE03B6"/>
    <w:rsid w:val="00CE13E3"/>
    <w:rsid w:val="00CE1785"/>
    <w:rsid w:val="00CE4E9C"/>
    <w:rsid w:val="00CF0BE5"/>
    <w:rsid w:val="00CF0CE6"/>
    <w:rsid w:val="00CF0D5B"/>
    <w:rsid w:val="00CF193C"/>
    <w:rsid w:val="00CF211A"/>
    <w:rsid w:val="00CF31C3"/>
    <w:rsid w:val="00CF3EC0"/>
    <w:rsid w:val="00CF4994"/>
    <w:rsid w:val="00CF5B41"/>
    <w:rsid w:val="00CF5E3C"/>
    <w:rsid w:val="00CF767F"/>
    <w:rsid w:val="00D00CE1"/>
    <w:rsid w:val="00D01054"/>
    <w:rsid w:val="00D1373F"/>
    <w:rsid w:val="00D15740"/>
    <w:rsid w:val="00D20F35"/>
    <w:rsid w:val="00D24FCB"/>
    <w:rsid w:val="00D251E3"/>
    <w:rsid w:val="00D26592"/>
    <w:rsid w:val="00D30944"/>
    <w:rsid w:val="00D30946"/>
    <w:rsid w:val="00D319BF"/>
    <w:rsid w:val="00D3482C"/>
    <w:rsid w:val="00D34C93"/>
    <w:rsid w:val="00D41998"/>
    <w:rsid w:val="00D41CAF"/>
    <w:rsid w:val="00D4224B"/>
    <w:rsid w:val="00D42321"/>
    <w:rsid w:val="00D43806"/>
    <w:rsid w:val="00D4437B"/>
    <w:rsid w:val="00D45407"/>
    <w:rsid w:val="00D45D48"/>
    <w:rsid w:val="00D52487"/>
    <w:rsid w:val="00D52DFA"/>
    <w:rsid w:val="00D5317B"/>
    <w:rsid w:val="00D53FA7"/>
    <w:rsid w:val="00D574CD"/>
    <w:rsid w:val="00D63E8E"/>
    <w:rsid w:val="00D6574A"/>
    <w:rsid w:val="00D6704C"/>
    <w:rsid w:val="00D70AE0"/>
    <w:rsid w:val="00D71CA2"/>
    <w:rsid w:val="00D7279B"/>
    <w:rsid w:val="00D73518"/>
    <w:rsid w:val="00D73A70"/>
    <w:rsid w:val="00D73DEB"/>
    <w:rsid w:val="00D769B1"/>
    <w:rsid w:val="00D807FE"/>
    <w:rsid w:val="00D81D5E"/>
    <w:rsid w:val="00D852EA"/>
    <w:rsid w:val="00D875D0"/>
    <w:rsid w:val="00D9038E"/>
    <w:rsid w:val="00D9252E"/>
    <w:rsid w:val="00D974D7"/>
    <w:rsid w:val="00DA2575"/>
    <w:rsid w:val="00DA3932"/>
    <w:rsid w:val="00DA6750"/>
    <w:rsid w:val="00DB03E9"/>
    <w:rsid w:val="00DB0FFC"/>
    <w:rsid w:val="00DB13F7"/>
    <w:rsid w:val="00DB1650"/>
    <w:rsid w:val="00DB1E41"/>
    <w:rsid w:val="00DB4DA9"/>
    <w:rsid w:val="00DB58D1"/>
    <w:rsid w:val="00DB5B9B"/>
    <w:rsid w:val="00DB64F9"/>
    <w:rsid w:val="00DC05B4"/>
    <w:rsid w:val="00DC1779"/>
    <w:rsid w:val="00DC189F"/>
    <w:rsid w:val="00DC576D"/>
    <w:rsid w:val="00DC58C7"/>
    <w:rsid w:val="00DC6D1A"/>
    <w:rsid w:val="00DD1534"/>
    <w:rsid w:val="00DD2527"/>
    <w:rsid w:val="00DD3497"/>
    <w:rsid w:val="00DD3F81"/>
    <w:rsid w:val="00DD540E"/>
    <w:rsid w:val="00DE1941"/>
    <w:rsid w:val="00DE37DF"/>
    <w:rsid w:val="00DE4015"/>
    <w:rsid w:val="00DF04DB"/>
    <w:rsid w:val="00DF2B26"/>
    <w:rsid w:val="00DF32FA"/>
    <w:rsid w:val="00DF578A"/>
    <w:rsid w:val="00DF62D6"/>
    <w:rsid w:val="00DF7BB9"/>
    <w:rsid w:val="00E01D01"/>
    <w:rsid w:val="00E024D8"/>
    <w:rsid w:val="00E05AA6"/>
    <w:rsid w:val="00E076B9"/>
    <w:rsid w:val="00E108D1"/>
    <w:rsid w:val="00E12714"/>
    <w:rsid w:val="00E1473E"/>
    <w:rsid w:val="00E15F55"/>
    <w:rsid w:val="00E1642F"/>
    <w:rsid w:val="00E17A05"/>
    <w:rsid w:val="00E221F2"/>
    <w:rsid w:val="00E2538D"/>
    <w:rsid w:val="00E26B3D"/>
    <w:rsid w:val="00E302C1"/>
    <w:rsid w:val="00E31159"/>
    <w:rsid w:val="00E32940"/>
    <w:rsid w:val="00E343FA"/>
    <w:rsid w:val="00E34FC3"/>
    <w:rsid w:val="00E36426"/>
    <w:rsid w:val="00E36BB0"/>
    <w:rsid w:val="00E36CEB"/>
    <w:rsid w:val="00E40F12"/>
    <w:rsid w:val="00E4344C"/>
    <w:rsid w:val="00E451C2"/>
    <w:rsid w:val="00E459CE"/>
    <w:rsid w:val="00E5093B"/>
    <w:rsid w:val="00E52A8A"/>
    <w:rsid w:val="00E549A5"/>
    <w:rsid w:val="00E5585C"/>
    <w:rsid w:val="00E55BDA"/>
    <w:rsid w:val="00E55CD1"/>
    <w:rsid w:val="00E63993"/>
    <w:rsid w:val="00E63F4F"/>
    <w:rsid w:val="00E7077C"/>
    <w:rsid w:val="00E711D3"/>
    <w:rsid w:val="00E7193E"/>
    <w:rsid w:val="00E74B73"/>
    <w:rsid w:val="00E7611B"/>
    <w:rsid w:val="00E7771E"/>
    <w:rsid w:val="00E778C3"/>
    <w:rsid w:val="00E80E7A"/>
    <w:rsid w:val="00E82EC4"/>
    <w:rsid w:val="00E842DB"/>
    <w:rsid w:val="00E8606B"/>
    <w:rsid w:val="00E8763B"/>
    <w:rsid w:val="00E9241E"/>
    <w:rsid w:val="00E95FC6"/>
    <w:rsid w:val="00E97AB5"/>
    <w:rsid w:val="00EA0A39"/>
    <w:rsid w:val="00EA1518"/>
    <w:rsid w:val="00EA2B56"/>
    <w:rsid w:val="00EA3BFD"/>
    <w:rsid w:val="00EA489B"/>
    <w:rsid w:val="00EA5CEB"/>
    <w:rsid w:val="00EB03C4"/>
    <w:rsid w:val="00EB0E5C"/>
    <w:rsid w:val="00EB3B94"/>
    <w:rsid w:val="00EB4658"/>
    <w:rsid w:val="00EB5B03"/>
    <w:rsid w:val="00EB721E"/>
    <w:rsid w:val="00ED139A"/>
    <w:rsid w:val="00ED3F05"/>
    <w:rsid w:val="00ED63B2"/>
    <w:rsid w:val="00ED772D"/>
    <w:rsid w:val="00EE1BC6"/>
    <w:rsid w:val="00EF095B"/>
    <w:rsid w:val="00EF1AAA"/>
    <w:rsid w:val="00EF6A6D"/>
    <w:rsid w:val="00F0044B"/>
    <w:rsid w:val="00F023BB"/>
    <w:rsid w:val="00F04A7B"/>
    <w:rsid w:val="00F0671E"/>
    <w:rsid w:val="00F118A8"/>
    <w:rsid w:val="00F15796"/>
    <w:rsid w:val="00F208C3"/>
    <w:rsid w:val="00F2109B"/>
    <w:rsid w:val="00F2345A"/>
    <w:rsid w:val="00F23FF4"/>
    <w:rsid w:val="00F27784"/>
    <w:rsid w:val="00F27864"/>
    <w:rsid w:val="00F27A21"/>
    <w:rsid w:val="00F31E2E"/>
    <w:rsid w:val="00F32741"/>
    <w:rsid w:val="00F33585"/>
    <w:rsid w:val="00F35B92"/>
    <w:rsid w:val="00F36D30"/>
    <w:rsid w:val="00F42420"/>
    <w:rsid w:val="00F47172"/>
    <w:rsid w:val="00F47727"/>
    <w:rsid w:val="00F50486"/>
    <w:rsid w:val="00F51C73"/>
    <w:rsid w:val="00F54990"/>
    <w:rsid w:val="00F57CAE"/>
    <w:rsid w:val="00F60F50"/>
    <w:rsid w:val="00F61536"/>
    <w:rsid w:val="00F61FF8"/>
    <w:rsid w:val="00F62D20"/>
    <w:rsid w:val="00F646FB"/>
    <w:rsid w:val="00F70777"/>
    <w:rsid w:val="00F70E43"/>
    <w:rsid w:val="00F71502"/>
    <w:rsid w:val="00F719D6"/>
    <w:rsid w:val="00F733DF"/>
    <w:rsid w:val="00F738C9"/>
    <w:rsid w:val="00F765EA"/>
    <w:rsid w:val="00F77ABD"/>
    <w:rsid w:val="00F84A57"/>
    <w:rsid w:val="00F90375"/>
    <w:rsid w:val="00F923CC"/>
    <w:rsid w:val="00F95D61"/>
    <w:rsid w:val="00F96E64"/>
    <w:rsid w:val="00F97A72"/>
    <w:rsid w:val="00F97DAE"/>
    <w:rsid w:val="00FA05CA"/>
    <w:rsid w:val="00FA1435"/>
    <w:rsid w:val="00FA1446"/>
    <w:rsid w:val="00FA16DF"/>
    <w:rsid w:val="00FA1E6D"/>
    <w:rsid w:val="00FA39E8"/>
    <w:rsid w:val="00FA42AF"/>
    <w:rsid w:val="00FA72AB"/>
    <w:rsid w:val="00FA773E"/>
    <w:rsid w:val="00FB38A9"/>
    <w:rsid w:val="00FB464F"/>
    <w:rsid w:val="00FB63BC"/>
    <w:rsid w:val="00FC087A"/>
    <w:rsid w:val="00FC1548"/>
    <w:rsid w:val="00FC7E07"/>
    <w:rsid w:val="00FC7E4D"/>
    <w:rsid w:val="00FD0396"/>
    <w:rsid w:val="00FD1314"/>
    <w:rsid w:val="00FD1792"/>
    <w:rsid w:val="00FD21D8"/>
    <w:rsid w:val="00FD312E"/>
    <w:rsid w:val="00FD3E44"/>
    <w:rsid w:val="00FD407D"/>
    <w:rsid w:val="00FD455D"/>
    <w:rsid w:val="00FD51B7"/>
    <w:rsid w:val="00FE0429"/>
    <w:rsid w:val="00FE2A42"/>
    <w:rsid w:val="00FE7166"/>
    <w:rsid w:val="00FE74FA"/>
    <w:rsid w:val="00FE7768"/>
    <w:rsid w:val="00FF049E"/>
    <w:rsid w:val="00FF0919"/>
    <w:rsid w:val="00FF1050"/>
    <w:rsid w:val="00FF2BC0"/>
    <w:rsid w:val="00FF2C07"/>
    <w:rsid w:val="00FF45A9"/>
    <w:rsid w:val="00FF6F71"/>
    <w:rsid w:val="01EC3E90"/>
    <w:rsid w:val="034623EE"/>
    <w:rsid w:val="045F303F"/>
    <w:rsid w:val="05341676"/>
    <w:rsid w:val="053F077B"/>
    <w:rsid w:val="080F08D8"/>
    <w:rsid w:val="09061CDB"/>
    <w:rsid w:val="09FC6C3A"/>
    <w:rsid w:val="0A4A3E4A"/>
    <w:rsid w:val="0A90021D"/>
    <w:rsid w:val="0AE53B72"/>
    <w:rsid w:val="0B3D575C"/>
    <w:rsid w:val="0C376EBC"/>
    <w:rsid w:val="0C540FAF"/>
    <w:rsid w:val="0C621E43"/>
    <w:rsid w:val="0CF74D52"/>
    <w:rsid w:val="0E947D89"/>
    <w:rsid w:val="0EC56195"/>
    <w:rsid w:val="102869DB"/>
    <w:rsid w:val="11625F1D"/>
    <w:rsid w:val="12752DE9"/>
    <w:rsid w:val="13086650"/>
    <w:rsid w:val="13174AE5"/>
    <w:rsid w:val="14BF71E2"/>
    <w:rsid w:val="151632A6"/>
    <w:rsid w:val="16077093"/>
    <w:rsid w:val="161C0D90"/>
    <w:rsid w:val="168C4930"/>
    <w:rsid w:val="176522C3"/>
    <w:rsid w:val="17C50FB3"/>
    <w:rsid w:val="180845EC"/>
    <w:rsid w:val="19096DC8"/>
    <w:rsid w:val="1A381F10"/>
    <w:rsid w:val="1C752FA8"/>
    <w:rsid w:val="1D76522A"/>
    <w:rsid w:val="1E285DF8"/>
    <w:rsid w:val="1E543091"/>
    <w:rsid w:val="1EE44415"/>
    <w:rsid w:val="205B24B5"/>
    <w:rsid w:val="209061C8"/>
    <w:rsid w:val="22623FCE"/>
    <w:rsid w:val="23160915"/>
    <w:rsid w:val="23D83E1C"/>
    <w:rsid w:val="245B2BB1"/>
    <w:rsid w:val="24E04508"/>
    <w:rsid w:val="253D0A0C"/>
    <w:rsid w:val="258E0C37"/>
    <w:rsid w:val="260158AC"/>
    <w:rsid w:val="267B5C7C"/>
    <w:rsid w:val="26AB0DFC"/>
    <w:rsid w:val="27CC1EEA"/>
    <w:rsid w:val="28180C8B"/>
    <w:rsid w:val="28B210E0"/>
    <w:rsid w:val="29233CB6"/>
    <w:rsid w:val="2A6401B8"/>
    <w:rsid w:val="2A77438F"/>
    <w:rsid w:val="2AB078A1"/>
    <w:rsid w:val="2ACF41CB"/>
    <w:rsid w:val="2B6A3EF4"/>
    <w:rsid w:val="2B9542C8"/>
    <w:rsid w:val="2C5F5F8B"/>
    <w:rsid w:val="2CEE645F"/>
    <w:rsid w:val="2D173C07"/>
    <w:rsid w:val="2D614CD2"/>
    <w:rsid w:val="2E84723C"/>
    <w:rsid w:val="2EE31FF3"/>
    <w:rsid w:val="2F2F5238"/>
    <w:rsid w:val="3014442E"/>
    <w:rsid w:val="30BC3DE4"/>
    <w:rsid w:val="31507277"/>
    <w:rsid w:val="315471D8"/>
    <w:rsid w:val="3179263A"/>
    <w:rsid w:val="321B7CF6"/>
    <w:rsid w:val="32516395"/>
    <w:rsid w:val="32AA2E28"/>
    <w:rsid w:val="32B83797"/>
    <w:rsid w:val="34546879"/>
    <w:rsid w:val="345968B4"/>
    <w:rsid w:val="34627E5E"/>
    <w:rsid w:val="35246EC1"/>
    <w:rsid w:val="35B446E9"/>
    <w:rsid w:val="35B91D00"/>
    <w:rsid w:val="35BC70FA"/>
    <w:rsid w:val="3923325A"/>
    <w:rsid w:val="39641F82"/>
    <w:rsid w:val="39763A64"/>
    <w:rsid w:val="3BD77542"/>
    <w:rsid w:val="3BE473AB"/>
    <w:rsid w:val="3C7C494B"/>
    <w:rsid w:val="3C7C75E3"/>
    <w:rsid w:val="3D167A38"/>
    <w:rsid w:val="3DCC6348"/>
    <w:rsid w:val="3DD1570D"/>
    <w:rsid w:val="3EFF1A7D"/>
    <w:rsid w:val="3F281CA4"/>
    <w:rsid w:val="40185F79"/>
    <w:rsid w:val="407A02DD"/>
    <w:rsid w:val="40E179BB"/>
    <w:rsid w:val="4110479E"/>
    <w:rsid w:val="41CA5CC4"/>
    <w:rsid w:val="42277FF1"/>
    <w:rsid w:val="42F223AD"/>
    <w:rsid w:val="43C81360"/>
    <w:rsid w:val="443F1622"/>
    <w:rsid w:val="44B453B7"/>
    <w:rsid w:val="46503FBA"/>
    <w:rsid w:val="46F54B62"/>
    <w:rsid w:val="4729480B"/>
    <w:rsid w:val="49624874"/>
    <w:rsid w:val="49CA7BE0"/>
    <w:rsid w:val="4AC24D5B"/>
    <w:rsid w:val="4AE42F23"/>
    <w:rsid w:val="4B5638B9"/>
    <w:rsid w:val="4BCD1C09"/>
    <w:rsid w:val="4BFA22D2"/>
    <w:rsid w:val="4C0A0A73"/>
    <w:rsid w:val="4D1E2254"/>
    <w:rsid w:val="4DFA0CB0"/>
    <w:rsid w:val="4E8642F1"/>
    <w:rsid w:val="4F365D17"/>
    <w:rsid w:val="4F5A1A06"/>
    <w:rsid w:val="50153B7F"/>
    <w:rsid w:val="5074340D"/>
    <w:rsid w:val="51856AE2"/>
    <w:rsid w:val="51B15DFF"/>
    <w:rsid w:val="52BB78D6"/>
    <w:rsid w:val="548E3F00"/>
    <w:rsid w:val="54CF07A0"/>
    <w:rsid w:val="54E56216"/>
    <w:rsid w:val="558511DC"/>
    <w:rsid w:val="55CA0F67"/>
    <w:rsid w:val="55D3606E"/>
    <w:rsid w:val="5684380C"/>
    <w:rsid w:val="56F7330C"/>
    <w:rsid w:val="577D2735"/>
    <w:rsid w:val="577D745D"/>
    <w:rsid w:val="57811AFA"/>
    <w:rsid w:val="57EC1669"/>
    <w:rsid w:val="583B614D"/>
    <w:rsid w:val="591E757E"/>
    <w:rsid w:val="59BD525F"/>
    <w:rsid w:val="59D77A48"/>
    <w:rsid w:val="5A001F6E"/>
    <w:rsid w:val="5A3D43FE"/>
    <w:rsid w:val="5BA069F2"/>
    <w:rsid w:val="5C074CC3"/>
    <w:rsid w:val="5C427AAA"/>
    <w:rsid w:val="5C7236C4"/>
    <w:rsid w:val="5CA2679A"/>
    <w:rsid w:val="5D1551BE"/>
    <w:rsid w:val="5D8C2E87"/>
    <w:rsid w:val="5D900CE9"/>
    <w:rsid w:val="5DAB5B22"/>
    <w:rsid w:val="5DAD3649"/>
    <w:rsid w:val="5EA762EA"/>
    <w:rsid w:val="5F1576F7"/>
    <w:rsid w:val="5F785F28"/>
    <w:rsid w:val="5FAA42E4"/>
    <w:rsid w:val="60811394"/>
    <w:rsid w:val="60E750C3"/>
    <w:rsid w:val="60FF41BB"/>
    <w:rsid w:val="61C06A6D"/>
    <w:rsid w:val="625F0C91"/>
    <w:rsid w:val="63402869"/>
    <w:rsid w:val="642108EC"/>
    <w:rsid w:val="642653DB"/>
    <w:rsid w:val="64703A19"/>
    <w:rsid w:val="64964E36"/>
    <w:rsid w:val="6546685C"/>
    <w:rsid w:val="6554084E"/>
    <w:rsid w:val="656D6AFB"/>
    <w:rsid w:val="65DA6FA5"/>
    <w:rsid w:val="66383EBB"/>
    <w:rsid w:val="67B11F87"/>
    <w:rsid w:val="6985191D"/>
    <w:rsid w:val="698C2CAC"/>
    <w:rsid w:val="69CC30A8"/>
    <w:rsid w:val="69D34437"/>
    <w:rsid w:val="6A694137"/>
    <w:rsid w:val="6B340F05"/>
    <w:rsid w:val="6C507FC1"/>
    <w:rsid w:val="6DE52928"/>
    <w:rsid w:val="6E072901"/>
    <w:rsid w:val="6EAA34D8"/>
    <w:rsid w:val="700E6E24"/>
    <w:rsid w:val="70893AA1"/>
    <w:rsid w:val="714F5964"/>
    <w:rsid w:val="728C7879"/>
    <w:rsid w:val="732B627B"/>
    <w:rsid w:val="737427E7"/>
    <w:rsid w:val="751002ED"/>
    <w:rsid w:val="75355FA6"/>
    <w:rsid w:val="7544268D"/>
    <w:rsid w:val="768D7E17"/>
    <w:rsid w:val="77F2017E"/>
    <w:rsid w:val="78271A44"/>
    <w:rsid w:val="78811502"/>
    <w:rsid w:val="788A2AAC"/>
    <w:rsid w:val="788B412F"/>
    <w:rsid w:val="78E21FA1"/>
    <w:rsid w:val="7A0B19CB"/>
    <w:rsid w:val="7B7470FC"/>
    <w:rsid w:val="7B9B33E4"/>
    <w:rsid w:val="7C0D37D8"/>
    <w:rsid w:val="7C9A0DE4"/>
    <w:rsid w:val="7CB225D2"/>
    <w:rsid w:val="7FCB7C3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99" w:semiHidden="0" w:name="Strong"/>
    <w:lsdException w:qFormat="1" w:unhideWhenUsed="0" w:uiPriority="99"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99" w:semiHidden="0" w:name="Balloon Text"/>
    <w:lsdException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等线"/>
      <w:kern w:val="2"/>
      <w:sz w:val="21"/>
      <w:szCs w:val="21"/>
      <w:lang w:val="en-US" w:eastAsia="zh-CN" w:bidi="ar-SA"/>
    </w:rPr>
  </w:style>
  <w:style w:type="paragraph" w:styleId="3">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21"/>
    <w:qFormat/>
    <w:uiPriority w:val="99"/>
    <w:pPr>
      <w:spacing w:before="100" w:beforeAutospacing="1" w:after="100" w:afterAutospacing="1"/>
      <w:outlineLvl w:val="1"/>
    </w:pPr>
    <w:rPr>
      <w:rFonts w:ascii="宋体" w:hAnsi="宋体" w:cs="宋体"/>
      <w:b/>
      <w:bCs/>
      <w:sz w:val="36"/>
      <w:szCs w:val="36"/>
    </w:rPr>
  </w:style>
  <w:style w:type="paragraph" w:styleId="4">
    <w:name w:val="heading 3"/>
    <w:basedOn w:val="1"/>
    <w:next w:val="1"/>
    <w:link w:val="23"/>
    <w:qFormat/>
    <w:uiPriority w:val="99"/>
    <w:pPr>
      <w:keepNext/>
      <w:keepLines/>
      <w:spacing w:before="260" w:after="260" w:line="416" w:lineRule="auto"/>
      <w:outlineLvl w:val="2"/>
    </w:pPr>
    <w:rPr>
      <w:b/>
      <w:bCs/>
      <w:sz w:val="32"/>
      <w:szCs w:val="32"/>
    </w:rPr>
  </w:style>
  <w:style w:type="paragraph" w:styleId="5">
    <w:name w:val="heading 4"/>
    <w:basedOn w:val="1"/>
    <w:next w:val="1"/>
    <w:link w:val="24"/>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6">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styleId="6">
    <w:name w:val="Document Map"/>
    <w:basedOn w:val="1"/>
    <w:link w:val="25"/>
    <w:unhideWhenUsed/>
    <w:qFormat/>
    <w:uiPriority w:val="99"/>
    <w:rPr>
      <w:rFonts w:ascii="宋体" w:eastAsia="宋体"/>
      <w:sz w:val="18"/>
      <w:szCs w:val="18"/>
    </w:rPr>
  </w:style>
  <w:style w:type="paragraph" w:styleId="7">
    <w:name w:val="Body Text"/>
    <w:basedOn w:val="1"/>
    <w:link w:val="26"/>
    <w:uiPriority w:val="99"/>
    <w:pPr>
      <w:autoSpaceDE w:val="0"/>
      <w:autoSpaceDN w:val="0"/>
      <w:ind w:left="153"/>
      <w:jc w:val="left"/>
    </w:pPr>
    <w:rPr>
      <w:rFonts w:ascii="仿宋_GB2312" w:hAnsi="仿宋_GB2312" w:eastAsia="仿宋_GB2312" w:cs="仿宋_GB2312"/>
      <w:kern w:val="0"/>
      <w:sz w:val="32"/>
      <w:szCs w:val="32"/>
      <w:lang w:val="zh-CN"/>
    </w:rPr>
  </w:style>
  <w:style w:type="paragraph" w:styleId="8">
    <w:name w:val="toc 3"/>
    <w:basedOn w:val="1"/>
    <w:next w:val="1"/>
    <w:uiPriority w:val="99"/>
    <w:pPr>
      <w:ind w:left="840" w:leftChars="400"/>
    </w:pPr>
  </w:style>
  <w:style w:type="paragraph" w:styleId="9">
    <w:name w:val="Balloon Text"/>
    <w:basedOn w:val="1"/>
    <w:link w:val="27"/>
    <w:uiPriority w:val="99"/>
    <w:rPr>
      <w:sz w:val="18"/>
      <w:szCs w:val="18"/>
    </w:rPr>
  </w:style>
  <w:style w:type="paragraph" w:styleId="10">
    <w:name w:val="footer"/>
    <w:basedOn w:val="1"/>
    <w:link w:val="28"/>
    <w:uiPriority w:val="99"/>
    <w:pPr>
      <w:tabs>
        <w:tab w:val="center" w:pos="4153"/>
        <w:tab w:val="right" w:pos="8306"/>
      </w:tabs>
      <w:snapToGrid w:val="0"/>
      <w:jc w:val="left"/>
    </w:pPr>
    <w:rPr>
      <w:sz w:val="18"/>
      <w:szCs w:val="18"/>
    </w:rPr>
  </w:style>
  <w:style w:type="paragraph" w:styleId="11">
    <w:name w:val="header"/>
    <w:basedOn w:val="1"/>
    <w:link w:val="29"/>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link w:val="30"/>
    <w:qFormat/>
    <w:uiPriority w:val="0"/>
    <w:pPr>
      <w:spacing w:line="720" w:lineRule="exact"/>
      <w:ind w:firstLine="640" w:firstLineChars="200"/>
      <w:jc w:val="center"/>
    </w:pPr>
    <w:rPr>
      <w:rFonts w:ascii="Arial Unicode MS" w:hAnsi="Arial Unicode MS" w:eastAsia="Arial Unicode MS" w:cs="Arial Unicode MS"/>
      <w:sz w:val="44"/>
      <w:szCs w:val="44"/>
    </w:rPr>
  </w:style>
  <w:style w:type="table" w:styleId="15">
    <w:name w:val="Table Grid"/>
    <w:basedOn w:val="14"/>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99"/>
    <w:rPr>
      <w:b/>
      <w:bCs/>
    </w:rPr>
  </w:style>
  <w:style w:type="character" w:styleId="18">
    <w:name w:val="page number"/>
    <w:basedOn w:val="16"/>
    <w:uiPriority w:val="99"/>
  </w:style>
  <w:style w:type="character" w:styleId="19">
    <w:name w:val="Emphasis"/>
    <w:basedOn w:val="16"/>
    <w:qFormat/>
    <w:uiPriority w:val="99"/>
    <w:rPr>
      <w:i/>
      <w:iCs/>
    </w:rPr>
  </w:style>
  <w:style w:type="character" w:styleId="20">
    <w:name w:val="Hyperlink"/>
    <w:basedOn w:val="16"/>
    <w:unhideWhenUsed/>
    <w:uiPriority w:val="99"/>
    <w:rPr>
      <w:color w:val="0000FF"/>
      <w:u w:val="single"/>
    </w:rPr>
  </w:style>
  <w:style w:type="character" w:customStyle="1" w:styleId="21">
    <w:name w:val="标题 2 Char"/>
    <w:basedOn w:val="16"/>
    <w:link w:val="2"/>
    <w:uiPriority w:val="99"/>
    <w:rPr>
      <w:rFonts w:ascii="宋体" w:hAnsi="宋体" w:eastAsia="等线" w:cs="宋体"/>
      <w:b/>
      <w:bCs/>
      <w:kern w:val="2"/>
      <w:sz w:val="36"/>
      <w:szCs w:val="36"/>
    </w:rPr>
  </w:style>
  <w:style w:type="character" w:customStyle="1" w:styleId="22">
    <w:name w:val="标题 1 Char"/>
    <w:basedOn w:val="16"/>
    <w:link w:val="3"/>
    <w:uiPriority w:val="9"/>
    <w:rPr>
      <w:rFonts w:ascii="等线" w:hAnsi="等线" w:eastAsia="等线" w:cs="等线"/>
      <w:b/>
      <w:bCs/>
      <w:kern w:val="44"/>
      <w:sz w:val="44"/>
      <w:szCs w:val="44"/>
    </w:rPr>
  </w:style>
  <w:style w:type="character" w:customStyle="1" w:styleId="23">
    <w:name w:val="标题 3 Char"/>
    <w:basedOn w:val="16"/>
    <w:link w:val="4"/>
    <w:uiPriority w:val="99"/>
    <w:rPr>
      <w:rFonts w:ascii="等线" w:hAnsi="等线" w:eastAsia="等线" w:cs="等线"/>
      <w:b/>
      <w:bCs/>
      <w:kern w:val="2"/>
      <w:sz w:val="32"/>
      <w:szCs w:val="32"/>
    </w:rPr>
  </w:style>
  <w:style w:type="character" w:customStyle="1" w:styleId="24">
    <w:name w:val="标题 4 Char"/>
    <w:basedOn w:val="16"/>
    <w:link w:val="5"/>
    <w:uiPriority w:val="9"/>
    <w:rPr>
      <w:rFonts w:ascii="Cambria" w:hAnsi="Cambria"/>
      <w:b/>
      <w:bCs/>
      <w:kern w:val="2"/>
      <w:sz w:val="28"/>
      <w:szCs w:val="28"/>
    </w:rPr>
  </w:style>
  <w:style w:type="character" w:customStyle="1" w:styleId="25">
    <w:name w:val="文档结构图 Char"/>
    <w:basedOn w:val="16"/>
    <w:link w:val="6"/>
    <w:uiPriority w:val="99"/>
    <w:rPr>
      <w:rFonts w:ascii="宋体" w:hAnsi="等线" w:cs="等线"/>
      <w:kern w:val="2"/>
      <w:sz w:val="18"/>
      <w:szCs w:val="18"/>
    </w:rPr>
  </w:style>
  <w:style w:type="character" w:customStyle="1" w:styleId="26">
    <w:name w:val="正文文本 Char"/>
    <w:basedOn w:val="16"/>
    <w:link w:val="7"/>
    <w:uiPriority w:val="99"/>
    <w:rPr>
      <w:rFonts w:ascii="仿宋_GB2312" w:hAnsi="仿宋_GB2312" w:eastAsia="仿宋_GB2312" w:cs="仿宋_GB2312"/>
      <w:sz w:val="32"/>
      <w:szCs w:val="32"/>
      <w:lang w:val="zh-CN"/>
    </w:rPr>
  </w:style>
  <w:style w:type="character" w:customStyle="1" w:styleId="27">
    <w:name w:val="批注框文本 Char"/>
    <w:basedOn w:val="16"/>
    <w:link w:val="9"/>
    <w:uiPriority w:val="99"/>
    <w:rPr>
      <w:rFonts w:ascii="等线" w:hAnsi="等线" w:eastAsia="等线" w:cs="等线"/>
      <w:kern w:val="2"/>
      <w:sz w:val="18"/>
      <w:szCs w:val="18"/>
    </w:rPr>
  </w:style>
  <w:style w:type="character" w:customStyle="1" w:styleId="28">
    <w:name w:val="页脚 Char"/>
    <w:basedOn w:val="16"/>
    <w:link w:val="10"/>
    <w:uiPriority w:val="99"/>
    <w:rPr>
      <w:rFonts w:ascii="等线" w:hAnsi="等线" w:eastAsia="等线" w:cs="等线"/>
      <w:kern w:val="2"/>
      <w:sz w:val="18"/>
      <w:szCs w:val="18"/>
    </w:rPr>
  </w:style>
  <w:style w:type="character" w:customStyle="1" w:styleId="29">
    <w:name w:val="页眉 Char"/>
    <w:basedOn w:val="16"/>
    <w:link w:val="11"/>
    <w:locked/>
    <w:uiPriority w:val="99"/>
    <w:rPr>
      <w:rFonts w:eastAsia="宋体"/>
      <w:kern w:val="2"/>
      <w:sz w:val="18"/>
      <w:szCs w:val="18"/>
      <w:lang w:val="en-US" w:eastAsia="zh-CN" w:bidi="ar-SA"/>
    </w:rPr>
  </w:style>
  <w:style w:type="character" w:customStyle="1" w:styleId="30">
    <w:name w:val="标题 Char"/>
    <w:basedOn w:val="16"/>
    <w:link w:val="13"/>
    <w:qFormat/>
    <w:uiPriority w:val="0"/>
    <w:rPr>
      <w:rFonts w:ascii="Arial Unicode MS" w:hAnsi="Arial Unicode MS" w:eastAsia="Arial Unicode MS" w:cs="Arial Unicode MS"/>
      <w:kern w:val="2"/>
      <w:sz w:val="44"/>
      <w:szCs w:val="44"/>
    </w:rPr>
  </w:style>
  <w:style w:type="character" w:customStyle="1" w:styleId="31">
    <w:name w:val="Header Char"/>
    <w:basedOn w:val="16"/>
    <w:semiHidden/>
    <w:locked/>
    <w:uiPriority w:val="99"/>
    <w:rPr>
      <w:rFonts w:eastAsia="宋体"/>
      <w:kern w:val="2"/>
      <w:sz w:val="18"/>
      <w:szCs w:val="18"/>
      <w:lang w:val="en-US" w:eastAsia="zh-CN"/>
    </w:rPr>
  </w:style>
  <w:style w:type="paragraph" w:customStyle="1" w:styleId="32">
    <w:name w:val="标题1"/>
    <w:basedOn w:val="1"/>
    <w:uiPriority w:val="0"/>
    <w:pPr>
      <w:spacing w:before="240" w:after="60"/>
      <w:jc w:val="center"/>
      <w:outlineLvl w:val="0"/>
    </w:pPr>
    <w:rPr>
      <w:rFonts w:ascii="Cambria" w:hAnsi="Cambria" w:eastAsia="宋体" w:cs="Times New Roman"/>
      <w:b/>
      <w:bCs/>
      <w:sz w:val="44"/>
      <w:szCs w:val="32"/>
    </w:rPr>
  </w:style>
  <w:style w:type="paragraph" w:customStyle="1" w:styleId="33">
    <w:name w:val="Heading #2|1"/>
    <w:basedOn w:val="1"/>
    <w:qFormat/>
    <w:uiPriority w:val="0"/>
    <w:pPr>
      <w:spacing w:after="480" w:line="504" w:lineRule="exact"/>
      <w:jc w:val="center"/>
      <w:outlineLvl w:val="1"/>
    </w:pPr>
    <w:rPr>
      <w:rFonts w:ascii="宋体" w:hAnsi="宋体" w:eastAsia="宋体" w:cs="宋体"/>
      <w:color w:val="363535"/>
      <w:kern w:val="0"/>
      <w:sz w:val="40"/>
      <w:szCs w:val="40"/>
      <w:lang w:val="zh-TW" w:eastAsia="zh-TW" w:bidi="zh-TW"/>
    </w:rPr>
  </w:style>
  <w:style w:type="paragraph" w:customStyle="1" w:styleId="34">
    <w:name w:val="要点正文"/>
    <w:basedOn w:val="7"/>
    <w:uiPriority w:val="0"/>
    <w:pPr>
      <w:adjustRightInd w:val="0"/>
      <w:spacing w:line="520" w:lineRule="exact"/>
      <w:ind w:left="0" w:firstLine="200" w:firstLineChars="200"/>
      <w:jc w:val="both"/>
    </w:pPr>
    <w:rPr>
      <w:rFonts w:ascii="Times New Roman" w:hAnsi="Times New Roman" w:cs="Times New Roman"/>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18</Pages>
  <Words>14010</Words>
  <Characters>16024</Characters>
  <Lines>71</Lines>
  <Paragraphs>20</Paragraphs>
  <TotalTime>54</TotalTime>
  <ScaleCrop>false</ScaleCrop>
  <LinksUpToDate>false</LinksUpToDate>
  <CharactersWithSpaces>16141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2020-11-21T05:42:00Z</dcterms:created>
  <dc:creator>Administrator</dc:creator>
  <cp:lastModifiedBy>寻悟寻</cp:lastModifiedBy>
  <cp:lastPrinted>2023-11-20T13:00:00Z</cp:lastPrinted>
  <dcterms:modified xsi:type="dcterms:W3CDTF">2024-06-13T07:36:45Z</dcterms:modified>
  <cp:revision>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KSOSaveFontToCloudKey">
    <vt:lpwstr>417794500_btnclosed</vt:lpwstr>
  </property>
  <property fmtid="{D5CDD505-2E9C-101B-9397-08002B2CF9AE}" pid="4" name="ICV">
    <vt:lpwstr>AC9886D54C3E46B1AF2E4AA1C944664F_13</vt:lpwstr>
  </property>
</Properties>
</file>